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F5F6" w14:textId="683081FF" w:rsidR="007B3734" w:rsidRPr="007B3734" w:rsidRDefault="007B3734" w:rsidP="007B3734">
      <w:pPr>
        <w:pStyle w:val="ECVSectionBullet"/>
        <w:spacing w:line="276" w:lineRule="auto"/>
        <w:jc w:val="center"/>
        <w:rPr>
          <w:b/>
          <w:sz w:val="28"/>
          <w:szCs w:val="28"/>
          <w:lang w:val="fr-FR"/>
        </w:rPr>
      </w:pPr>
      <w:r w:rsidRPr="007B3734">
        <w:rPr>
          <w:b/>
          <w:sz w:val="28"/>
          <w:szCs w:val="28"/>
          <w:lang w:val="fr-FR"/>
        </w:rPr>
        <w:t>CURRICULUM VITAE</w:t>
      </w:r>
    </w:p>
    <w:p w14:paraId="6E5B279C" w14:textId="77777777" w:rsidR="007B3734" w:rsidRDefault="007B3734" w:rsidP="007B3734">
      <w:pPr>
        <w:pStyle w:val="ECVSectionBullet"/>
        <w:spacing w:line="276" w:lineRule="auto"/>
        <w:jc w:val="center"/>
        <w:rPr>
          <w:b/>
          <w:sz w:val="22"/>
          <w:szCs w:val="22"/>
          <w:lang w:val="fr-FR"/>
        </w:rPr>
      </w:pPr>
    </w:p>
    <w:p w14:paraId="28E36E67" w14:textId="0049BBBD" w:rsidR="00D52372" w:rsidRPr="00B93437" w:rsidRDefault="00D52372" w:rsidP="00B93437">
      <w:pPr>
        <w:pStyle w:val="ECVSectionBullet"/>
        <w:spacing w:line="276" w:lineRule="auto"/>
        <w:rPr>
          <w:b/>
          <w:sz w:val="22"/>
          <w:szCs w:val="22"/>
          <w:lang w:val="fr-FR"/>
        </w:rPr>
      </w:pPr>
      <w:r w:rsidRPr="00B93437">
        <w:rPr>
          <w:b/>
          <w:sz w:val="22"/>
          <w:szCs w:val="22"/>
          <w:lang w:val="fr-FR"/>
        </w:rPr>
        <w:t>Eug</w:t>
      </w:r>
      <w:r w:rsidR="00B93437" w:rsidRPr="00B93437">
        <w:rPr>
          <w:sz w:val="22"/>
          <w:szCs w:val="22"/>
          <w:lang w:val="fr-FR"/>
        </w:rPr>
        <w:t>é</w:t>
      </w:r>
      <w:r w:rsidRPr="00B93437">
        <w:rPr>
          <w:b/>
          <w:sz w:val="22"/>
          <w:szCs w:val="22"/>
          <w:lang w:val="fr-FR"/>
        </w:rPr>
        <w:t xml:space="preserve">nie </w:t>
      </w:r>
      <w:r w:rsidR="00B93437" w:rsidRPr="00B93437">
        <w:rPr>
          <w:b/>
          <w:sz w:val="22"/>
          <w:szCs w:val="22"/>
          <w:lang w:val="fr-FR"/>
        </w:rPr>
        <w:t>PREVEDOUROU</w:t>
      </w:r>
    </w:p>
    <w:p w14:paraId="380F379D" w14:textId="0895E2F0" w:rsidR="00D52372" w:rsidRPr="00B93437" w:rsidRDefault="00D52372" w:rsidP="00B93437">
      <w:pPr>
        <w:pStyle w:val="ECVSectionBullet"/>
        <w:spacing w:line="276" w:lineRule="auto"/>
        <w:rPr>
          <w:b/>
          <w:sz w:val="22"/>
          <w:szCs w:val="22"/>
          <w:lang w:val="fr-FR"/>
        </w:rPr>
      </w:pPr>
      <w:r w:rsidRPr="00B93437">
        <w:rPr>
          <w:b/>
          <w:sz w:val="22"/>
          <w:szCs w:val="22"/>
          <w:lang w:val="fr-FR"/>
        </w:rPr>
        <w:t>Professeur de Droit public</w:t>
      </w:r>
      <w:r w:rsidR="007B3734">
        <w:rPr>
          <w:b/>
          <w:sz w:val="22"/>
          <w:szCs w:val="22"/>
          <w:lang w:val="fr-FR"/>
        </w:rPr>
        <w:t xml:space="preserve"> (Facult</w:t>
      </w:r>
      <w:r w:rsidR="007B3734" w:rsidRPr="007B3734">
        <w:rPr>
          <w:b/>
          <w:bCs/>
          <w:sz w:val="22"/>
          <w:szCs w:val="22"/>
          <w:lang w:val="fr-FR"/>
        </w:rPr>
        <w:t>é</w:t>
      </w:r>
      <w:r w:rsidR="007B3734">
        <w:rPr>
          <w:b/>
          <w:sz w:val="22"/>
          <w:szCs w:val="22"/>
          <w:lang w:val="fr-FR"/>
        </w:rPr>
        <w:t xml:space="preserve"> de droit, Universit</w:t>
      </w:r>
      <w:r w:rsidR="007B3734" w:rsidRPr="007B3734">
        <w:rPr>
          <w:b/>
          <w:bCs/>
          <w:sz w:val="22"/>
          <w:szCs w:val="22"/>
          <w:lang w:val="fr-FR"/>
        </w:rPr>
        <w:t>é</w:t>
      </w:r>
      <w:r w:rsidR="007B3734">
        <w:rPr>
          <w:szCs w:val="22"/>
          <w:lang w:val="fr-FR"/>
        </w:rPr>
        <w:t xml:space="preserve"> </w:t>
      </w:r>
      <w:r w:rsidR="007B3734">
        <w:rPr>
          <w:b/>
          <w:sz w:val="22"/>
          <w:szCs w:val="22"/>
          <w:lang w:val="fr-FR"/>
        </w:rPr>
        <w:t>Aristote de Thessalonique)</w:t>
      </w:r>
    </w:p>
    <w:p w14:paraId="3AD565D7" w14:textId="77777777" w:rsidR="00D52372" w:rsidRPr="00B93437" w:rsidRDefault="00D52372" w:rsidP="00B93437">
      <w:pPr>
        <w:pStyle w:val="ECVSectionBullet"/>
        <w:spacing w:line="276" w:lineRule="auto"/>
        <w:rPr>
          <w:b/>
          <w:sz w:val="22"/>
          <w:szCs w:val="22"/>
          <w:lang w:val="fr-FR"/>
        </w:rPr>
      </w:pPr>
      <w:r w:rsidRPr="00B93437">
        <w:rPr>
          <w:b/>
          <w:sz w:val="22"/>
          <w:szCs w:val="22"/>
          <w:lang w:val="fr-FR"/>
        </w:rPr>
        <w:t>Zefyron 5</w:t>
      </w:r>
    </w:p>
    <w:p w14:paraId="27B0C0D9" w14:textId="77777777" w:rsidR="00D52372" w:rsidRPr="00B93437" w:rsidRDefault="00D52372" w:rsidP="00B93437">
      <w:pPr>
        <w:pStyle w:val="ECVSectionBullet"/>
        <w:spacing w:line="276" w:lineRule="auto"/>
        <w:rPr>
          <w:sz w:val="22"/>
          <w:szCs w:val="22"/>
          <w:lang w:val="fr-FR"/>
        </w:rPr>
      </w:pPr>
      <w:r w:rsidRPr="00B93437">
        <w:rPr>
          <w:b/>
          <w:sz w:val="22"/>
          <w:szCs w:val="22"/>
          <w:lang w:val="fr-FR"/>
        </w:rPr>
        <w:t xml:space="preserve">15342 </w:t>
      </w:r>
      <w:r w:rsidRPr="007B3734">
        <w:rPr>
          <w:b/>
          <w:bCs/>
          <w:sz w:val="22"/>
          <w:szCs w:val="22"/>
          <w:lang w:val="fr-FR"/>
        </w:rPr>
        <w:t>Athènes</w:t>
      </w:r>
    </w:p>
    <w:p w14:paraId="42E31335" w14:textId="77777777" w:rsidR="00D52372" w:rsidRPr="00B93437" w:rsidRDefault="009468F9" w:rsidP="00B93437">
      <w:pPr>
        <w:pStyle w:val="ECVSectionBullet"/>
        <w:spacing w:line="276" w:lineRule="auto"/>
        <w:rPr>
          <w:sz w:val="22"/>
          <w:szCs w:val="22"/>
          <w:lang w:val="fr-FR"/>
        </w:rPr>
      </w:pPr>
      <w:hyperlink r:id="rId7" w:history="1">
        <w:r w:rsidR="00D52372" w:rsidRPr="00B93437">
          <w:rPr>
            <w:rStyle w:val="Lienhypertexte"/>
            <w:sz w:val="22"/>
            <w:szCs w:val="22"/>
            <w:lang w:val="fr-FR"/>
          </w:rPr>
          <w:t>jenny@prevedourou.gr</w:t>
        </w:r>
      </w:hyperlink>
      <w:r w:rsidR="00D52372" w:rsidRPr="00B93437">
        <w:rPr>
          <w:sz w:val="22"/>
          <w:szCs w:val="22"/>
          <w:lang w:val="fr-FR"/>
        </w:rPr>
        <w:t xml:space="preserve">, </w:t>
      </w:r>
      <w:hyperlink r:id="rId8" w:history="1">
        <w:r w:rsidR="00D52372" w:rsidRPr="00B93437">
          <w:rPr>
            <w:rStyle w:val="Lienhypertexte"/>
            <w:sz w:val="22"/>
            <w:szCs w:val="22"/>
            <w:lang w:val="fr-FR"/>
          </w:rPr>
          <w:t>epreved@law.auth.gr</w:t>
        </w:r>
      </w:hyperlink>
    </w:p>
    <w:p w14:paraId="1C64B1F2" w14:textId="77777777" w:rsidR="00D52372" w:rsidRPr="00B93437" w:rsidRDefault="00D52372" w:rsidP="00B93437">
      <w:pPr>
        <w:pStyle w:val="ECVSectionBullet"/>
        <w:spacing w:line="276" w:lineRule="auto"/>
        <w:rPr>
          <w:b/>
          <w:sz w:val="22"/>
          <w:szCs w:val="22"/>
          <w:lang w:val="fr-FR"/>
        </w:rPr>
      </w:pPr>
    </w:p>
    <w:p w14:paraId="5E0B54A6" w14:textId="77777777" w:rsidR="00D52372" w:rsidRPr="00B93437" w:rsidRDefault="00D52372" w:rsidP="00B93437">
      <w:pPr>
        <w:pStyle w:val="ECVSectionBullet"/>
        <w:spacing w:line="276" w:lineRule="auto"/>
        <w:rPr>
          <w:b/>
          <w:sz w:val="22"/>
          <w:szCs w:val="22"/>
          <w:lang w:val="fr-FR"/>
        </w:rPr>
      </w:pPr>
    </w:p>
    <w:p w14:paraId="73BB45EF" w14:textId="77777777" w:rsidR="00D52372" w:rsidRPr="00B93437" w:rsidRDefault="00D52372" w:rsidP="00B93437">
      <w:pPr>
        <w:pStyle w:val="ECVSectionBullet"/>
        <w:spacing w:line="276" w:lineRule="auto"/>
        <w:rPr>
          <w:b/>
          <w:sz w:val="22"/>
          <w:szCs w:val="22"/>
          <w:lang w:val="fr-FR"/>
        </w:rPr>
      </w:pPr>
      <w:r w:rsidRPr="00B93437">
        <w:rPr>
          <w:b/>
          <w:sz w:val="22"/>
          <w:szCs w:val="22"/>
          <w:lang w:val="fr-FR"/>
        </w:rPr>
        <w:t>Etudes et formation</w:t>
      </w:r>
    </w:p>
    <w:p w14:paraId="7276D5A9" w14:textId="77777777" w:rsidR="00D52372" w:rsidRPr="00B93437" w:rsidRDefault="00D52372" w:rsidP="00B93437">
      <w:pPr>
        <w:pStyle w:val="ECVSectionBullet"/>
        <w:spacing w:line="276" w:lineRule="auto"/>
        <w:rPr>
          <w:b/>
          <w:sz w:val="22"/>
          <w:szCs w:val="22"/>
          <w:lang w:val="fr-FR"/>
        </w:rPr>
      </w:pPr>
    </w:p>
    <w:p w14:paraId="53EFAD8D" w14:textId="77777777" w:rsidR="00D52372" w:rsidRPr="00B93437" w:rsidRDefault="00D52372" w:rsidP="00B93437">
      <w:pPr>
        <w:pStyle w:val="ECVSubSectionHeading"/>
        <w:spacing w:line="276" w:lineRule="auto"/>
        <w:jc w:val="both"/>
        <w:rPr>
          <w:color w:val="auto"/>
          <w:szCs w:val="22"/>
          <w:lang w:val="fr-FR"/>
        </w:rPr>
      </w:pPr>
      <w:r w:rsidRPr="00B93437">
        <w:rPr>
          <w:color w:val="auto"/>
          <w:szCs w:val="22"/>
          <w:lang w:val="fr-FR"/>
        </w:rPr>
        <w:t>Maîtrise de Droit (Université Nationale et Capodistriaque d’Athènes, Grèce), 1986. Mention : excellent (8,6/10)</w:t>
      </w:r>
    </w:p>
    <w:p w14:paraId="2CE1EF7D" w14:textId="77777777" w:rsidR="00D52372" w:rsidRPr="00B93437" w:rsidRDefault="00D52372" w:rsidP="00B93437">
      <w:pPr>
        <w:pStyle w:val="ECVSubSectionHeading"/>
        <w:spacing w:line="276" w:lineRule="auto"/>
        <w:jc w:val="both"/>
        <w:rPr>
          <w:color w:val="auto"/>
          <w:szCs w:val="22"/>
          <w:lang w:val="fr-FR"/>
        </w:rPr>
      </w:pPr>
    </w:p>
    <w:p w14:paraId="72AD4C26" w14:textId="77777777" w:rsidR="00D52372" w:rsidRPr="00B93437" w:rsidRDefault="00D52372" w:rsidP="00B93437">
      <w:pPr>
        <w:pStyle w:val="ECVSubSectionHeading"/>
        <w:spacing w:line="276" w:lineRule="auto"/>
        <w:jc w:val="both"/>
        <w:rPr>
          <w:color w:val="auto"/>
          <w:szCs w:val="22"/>
          <w:lang w:val="fr-FR"/>
        </w:rPr>
      </w:pPr>
      <w:r w:rsidRPr="00B93437">
        <w:rPr>
          <w:color w:val="auto"/>
          <w:szCs w:val="22"/>
          <w:lang w:val="fr-FR"/>
        </w:rPr>
        <w:t>D.E.A. de Droit public interne (Université de Droit, d’Economie et de Sciences Sociales [Paris II]), 1988  Mention : Bien (15/20)</w:t>
      </w:r>
    </w:p>
    <w:p w14:paraId="7D4F416A" w14:textId="77777777" w:rsidR="00D52372" w:rsidRPr="00B93437" w:rsidRDefault="00D52372" w:rsidP="00B93437">
      <w:pPr>
        <w:pStyle w:val="ECVSubSectionHeading"/>
        <w:spacing w:line="276" w:lineRule="auto"/>
        <w:jc w:val="both"/>
        <w:rPr>
          <w:color w:val="auto"/>
          <w:szCs w:val="22"/>
          <w:lang w:val="fr-FR"/>
        </w:rPr>
      </w:pPr>
    </w:p>
    <w:p w14:paraId="648D8A33" w14:textId="77777777" w:rsidR="00D52372" w:rsidRPr="00B93437" w:rsidRDefault="00D52372" w:rsidP="00B93437">
      <w:pPr>
        <w:pStyle w:val="ECVSubSectionHeading"/>
        <w:spacing w:line="276" w:lineRule="auto"/>
        <w:jc w:val="both"/>
        <w:rPr>
          <w:color w:val="auto"/>
          <w:szCs w:val="22"/>
          <w:lang w:val="fr-FR"/>
        </w:rPr>
      </w:pPr>
      <w:r w:rsidRPr="00B93437">
        <w:rPr>
          <w:color w:val="auto"/>
          <w:szCs w:val="22"/>
          <w:lang w:val="fr-FR"/>
        </w:rPr>
        <w:t>D.E.A. de Droit communautaire (Université de Droit, d’Economie et de Sciences Sociales [Paris II]), 1989. Mention : Assez bien (13/20)</w:t>
      </w:r>
    </w:p>
    <w:p w14:paraId="24FBA8C3" w14:textId="77777777" w:rsidR="00D52372" w:rsidRPr="00B93437" w:rsidRDefault="00D52372" w:rsidP="00B93437">
      <w:pPr>
        <w:pStyle w:val="ECVSubSectionHeading"/>
        <w:spacing w:line="276" w:lineRule="auto"/>
        <w:jc w:val="both"/>
        <w:rPr>
          <w:color w:val="auto"/>
          <w:szCs w:val="22"/>
          <w:lang w:val="fr-FR"/>
        </w:rPr>
      </w:pPr>
    </w:p>
    <w:p w14:paraId="6585F955" w14:textId="77777777" w:rsidR="00D52372" w:rsidRPr="00B93437" w:rsidRDefault="00D52372" w:rsidP="00B93437">
      <w:pPr>
        <w:pStyle w:val="ECVSubSectionHeading"/>
        <w:spacing w:line="276" w:lineRule="auto"/>
        <w:jc w:val="both"/>
        <w:rPr>
          <w:color w:val="auto"/>
          <w:szCs w:val="22"/>
          <w:lang w:val="fr-FR"/>
        </w:rPr>
      </w:pPr>
      <w:r w:rsidRPr="00B93437">
        <w:rPr>
          <w:color w:val="auto"/>
          <w:szCs w:val="22"/>
          <w:lang w:val="fr-FR"/>
        </w:rPr>
        <w:t xml:space="preserve">Docteur en Droit de l’Université de Droit, d’Economie et de Sciences Sociales [Paris II]), octobre 1994 : </w:t>
      </w:r>
      <w:r w:rsidRPr="00B93437">
        <w:rPr>
          <w:i/>
          <w:color w:val="auto"/>
          <w:szCs w:val="22"/>
          <w:lang w:val="fr-FR"/>
        </w:rPr>
        <w:t>Les recours administratifs obligatoires. Etude comparée des droits allemand et français</w:t>
      </w:r>
      <w:r w:rsidRPr="00B93437">
        <w:rPr>
          <w:color w:val="auto"/>
          <w:szCs w:val="22"/>
          <w:lang w:val="fr-FR"/>
        </w:rPr>
        <w:t>. Mention : Très honorable avec les félicitations du jury. Directeur de thèse : le professeur Yves Gaudemet</w:t>
      </w:r>
    </w:p>
    <w:p w14:paraId="5FBB306E" w14:textId="77777777" w:rsidR="00D52372" w:rsidRPr="00B93437" w:rsidRDefault="00D52372" w:rsidP="00B93437">
      <w:pPr>
        <w:pStyle w:val="ECVSubSectionHeading"/>
        <w:spacing w:line="276" w:lineRule="auto"/>
        <w:jc w:val="both"/>
        <w:rPr>
          <w:color w:val="auto"/>
          <w:szCs w:val="22"/>
          <w:lang w:val="fr-FR"/>
        </w:rPr>
      </w:pPr>
    </w:p>
    <w:p w14:paraId="2B3DE426" w14:textId="107E2246" w:rsidR="00D52372" w:rsidRPr="00B93437" w:rsidRDefault="00D52372" w:rsidP="00B93437">
      <w:pPr>
        <w:pStyle w:val="ECVSubSectionHeading"/>
        <w:spacing w:line="276" w:lineRule="auto"/>
        <w:jc w:val="both"/>
        <w:rPr>
          <w:color w:val="auto"/>
          <w:szCs w:val="22"/>
          <w:lang w:val="fr-FR"/>
        </w:rPr>
      </w:pPr>
      <w:r w:rsidRPr="00B93437">
        <w:rPr>
          <w:color w:val="auto"/>
          <w:szCs w:val="22"/>
          <w:lang w:val="fr-FR"/>
        </w:rPr>
        <w:t xml:space="preserve">Recherche postdoctorale (Université de Droit, d’Economie et de Sciences Sociales [Paris II] et Technische Universität Dresden, 1997-1998) dans le cadre du programme ARISTOTELES «Développer les principes du Droit public européen» de la DG XII de la Commission européenne : </w:t>
      </w:r>
      <w:r w:rsidRPr="00B93437">
        <w:rPr>
          <w:i/>
          <w:color w:val="auto"/>
          <w:szCs w:val="22"/>
          <w:lang w:val="fr-FR"/>
        </w:rPr>
        <w:t>L’évolution de l’autonomie procédurale des Etats membres</w:t>
      </w:r>
      <w:r w:rsidRPr="00B93437">
        <w:rPr>
          <w:color w:val="auto"/>
          <w:szCs w:val="22"/>
          <w:lang w:val="fr-FR"/>
        </w:rPr>
        <w:t>. Directeurs de recherche : les professeurs Gérard Timsit et Hans-Heinrich Trute</w:t>
      </w:r>
    </w:p>
    <w:p w14:paraId="006646C6" w14:textId="77777777" w:rsidR="002C4607" w:rsidRPr="00B93437" w:rsidRDefault="002C4607" w:rsidP="00B93437">
      <w:pPr>
        <w:spacing w:line="276" w:lineRule="auto"/>
        <w:rPr>
          <w:rFonts w:ascii="Times New Roman" w:hAnsi="Times New Roman" w:cs="Times New Roman"/>
          <w:sz w:val="22"/>
          <w:szCs w:val="22"/>
          <w:lang w:val="fr-FR"/>
        </w:rPr>
      </w:pPr>
    </w:p>
    <w:p w14:paraId="6EB5B98C" w14:textId="77777777" w:rsidR="00D52372" w:rsidRPr="00B93437" w:rsidRDefault="00D52372" w:rsidP="00B93437">
      <w:pPr>
        <w:spacing w:line="276" w:lineRule="auto"/>
        <w:rPr>
          <w:rFonts w:ascii="Times New Roman" w:hAnsi="Times New Roman" w:cs="Times New Roman"/>
          <w:b/>
          <w:bCs/>
          <w:color w:val="000000" w:themeColor="text1"/>
          <w:sz w:val="22"/>
          <w:szCs w:val="22"/>
          <w:lang w:val="fr-FR"/>
        </w:rPr>
      </w:pPr>
      <w:r w:rsidRPr="00B93437">
        <w:rPr>
          <w:rFonts w:ascii="Times New Roman" w:hAnsi="Times New Roman" w:cs="Times New Roman"/>
          <w:b/>
          <w:bCs/>
          <w:color w:val="000000" w:themeColor="text1"/>
          <w:sz w:val="22"/>
          <w:szCs w:val="22"/>
          <w:lang w:val="fr-FR"/>
        </w:rPr>
        <w:t>Experience professionnelle</w:t>
      </w:r>
    </w:p>
    <w:p w14:paraId="4C9C22BA" w14:textId="77777777" w:rsidR="00D52372" w:rsidRPr="00B93437" w:rsidRDefault="00D52372" w:rsidP="00B93437">
      <w:pPr>
        <w:spacing w:line="276" w:lineRule="auto"/>
        <w:rPr>
          <w:rFonts w:ascii="Times New Roman" w:hAnsi="Times New Roman" w:cs="Times New Roman"/>
          <w:b/>
          <w:bCs/>
          <w:color w:val="000000" w:themeColor="text1"/>
          <w:sz w:val="22"/>
          <w:szCs w:val="22"/>
          <w:lang w:val="fr-FR"/>
        </w:rPr>
      </w:pPr>
      <w:r w:rsidRPr="00B93437">
        <w:rPr>
          <w:rFonts w:ascii="Times New Roman" w:hAnsi="Times New Roman" w:cs="Times New Roman"/>
          <w:b/>
          <w:bCs/>
          <w:color w:val="000000" w:themeColor="text1"/>
          <w:sz w:val="22"/>
          <w:szCs w:val="22"/>
          <w:lang w:val="fr-FR"/>
        </w:rPr>
        <w:t>Poste actuel : Professeur de Droit public</w:t>
      </w:r>
    </w:p>
    <w:p w14:paraId="3B58BFBF" w14:textId="77777777" w:rsidR="007B3734" w:rsidRDefault="007B3734" w:rsidP="00DD6DD1">
      <w:pPr>
        <w:spacing w:line="276" w:lineRule="auto"/>
        <w:jc w:val="both"/>
        <w:rPr>
          <w:rFonts w:ascii="Times New Roman" w:hAnsi="Times New Roman" w:cs="Times New Roman"/>
          <w:color w:val="000000" w:themeColor="text1"/>
          <w:sz w:val="22"/>
          <w:szCs w:val="22"/>
          <w:lang w:val="fr-FR"/>
        </w:rPr>
      </w:pPr>
    </w:p>
    <w:p w14:paraId="1CED0CD1" w14:textId="792FD704" w:rsidR="00D52372" w:rsidRPr="00B93437" w:rsidRDefault="00D52372" w:rsidP="00DD6DD1">
      <w:pPr>
        <w:spacing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Faculté de Droit – Université Aristote de Thessalonique (5</w:t>
      </w:r>
      <w:r w:rsidRPr="00B93437">
        <w:rPr>
          <w:rFonts w:ascii="Times New Roman" w:hAnsi="Times New Roman" w:cs="Times New Roman"/>
          <w:color w:val="000000" w:themeColor="text1"/>
          <w:sz w:val="22"/>
          <w:szCs w:val="22"/>
          <w:shd w:val="clear" w:color="auto" w:fill="FFFFFF"/>
          <w:lang w:val="fr-FR"/>
        </w:rPr>
        <w:t xml:space="preserve">4124 Thessaloniki, Grèce, </w:t>
      </w:r>
      <w:hyperlink r:id="rId9" w:history="1">
        <w:r w:rsidRPr="00B93437">
          <w:rPr>
            <w:rStyle w:val="Lienhypertexte"/>
            <w:rFonts w:ascii="Times New Roman" w:hAnsi="Times New Roman" w:cs="Times New Roman"/>
            <w:sz w:val="22"/>
            <w:szCs w:val="22"/>
            <w:lang w:val="fr-FR"/>
          </w:rPr>
          <w:t>www.law.auth.gr</w:t>
        </w:r>
      </w:hyperlink>
      <w:r w:rsidRPr="00B93437">
        <w:rPr>
          <w:rFonts w:ascii="Times New Roman" w:hAnsi="Times New Roman" w:cs="Times New Roman"/>
          <w:color w:val="000000" w:themeColor="text1"/>
          <w:sz w:val="22"/>
          <w:szCs w:val="22"/>
          <w:lang w:val="fr-FR"/>
        </w:rPr>
        <w:t>)</w:t>
      </w:r>
    </w:p>
    <w:p w14:paraId="336FE8F0" w14:textId="5CABEEFA" w:rsidR="00D52372" w:rsidRPr="00B93437" w:rsidRDefault="00D52372" w:rsidP="00B93437">
      <w:pPr>
        <w:pStyle w:val="ECVSectionBullet"/>
        <w:framePr w:vSpace="6" w:wrap="around" w:vAnchor="text" w:hAnchor="text" w:y="6"/>
        <w:spacing w:line="276" w:lineRule="auto"/>
        <w:jc w:val="both"/>
        <w:rPr>
          <w:sz w:val="22"/>
          <w:szCs w:val="22"/>
          <w:lang w:val="fr-FR"/>
        </w:rPr>
      </w:pPr>
      <w:r w:rsidRPr="00B93437">
        <w:rPr>
          <w:sz w:val="22"/>
          <w:szCs w:val="22"/>
          <w:lang w:val="fr-FR"/>
        </w:rPr>
        <w:t>Principales activités et responsabilités : Enseignement, recherche, responsabilités administratives</w:t>
      </w:r>
    </w:p>
    <w:p w14:paraId="674812CE" w14:textId="77777777" w:rsidR="00D52372" w:rsidRPr="00B93437" w:rsidRDefault="00D52372" w:rsidP="00B93437">
      <w:pPr>
        <w:pStyle w:val="ECVBusinessSectorRow"/>
        <w:spacing w:line="276" w:lineRule="auto"/>
        <w:jc w:val="both"/>
        <w:rPr>
          <w:rStyle w:val="ECVHeadingBusinessSector"/>
          <w:rFonts w:ascii="Times New Roman" w:hAnsi="Times New Roman"/>
          <w:color w:val="000000" w:themeColor="text1"/>
          <w:sz w:val="22"/>
          <w:szCs w:val="22"/>
          <w:lang w:val="fr-FR"/>
        </w:rPr>
      </w:pPr>
      <w:r w:rsidRPr="00B93437">
        <w:rPr>
          <w:rStyle w:val="ECVHeadingBusinessSector"/>
          <w:rFonts w:ascii="Times New Roman" w:hAnsi="Times New Roman"/>
          <w:i/>
          <w:color w:val="000000" w:themeColor="text1"/>
          <w:sz w:val="22"/>
          <w:szCs w:val="22"/>
          <w:lang w:val="fr-FR"/>
        </w:rPr>
        <w:t>Enseignements actuels au deuxième et au troisième cycle</w:t>
      </w:r>
      <w:r w:rsidRPr="00B93437">
        <w:rPr>
          <w:rStyle w:val="ECVHeadingBusinessSector"/>
          <w:rFonts w:ascii="Times New Roman" w:hAnsi="Times New Roman"/>
          <w:color w:val="000000" w:themeColor="text1"/>
          <w:sz w:val="22"/>
          <w:szCs w:val="22"/>
          <w:lang w:val="fr-FR"/>
        </w:rPr>
        <w:t xml:space="preserve">: </w:t>
      </w:r>
    </w:p>
    <w:p w14:paraId="53065DF3" w14:textId="77777777" w:rsidR="00D52372" w:rsidRPr="00B93437" w:rsidRDefault="00D52372" w:rsidP="00B93437">
      <w:pPr>
        <w:pStyle w:val="ECVBusinessSectorRow"/>
        <w:numPr>
          <w:ilvl w:val="0"/>
          <w:numId w:val="3"/>
        </w:numPr>
        <w:spacing w:line="276" w:lineRule="auto"/>
        <w:jc w:val="both"/>
        <w:rPr>
          <w:rStyle w:val="ECVHeadingBusinessSector"/>
          <w:rFonts w:ascii="Times New Roman" w:hAnsi="Times New Roman"/>
          <w:color w:val="000000" w:themeColor="text1"/>
          <w:sz w:val="22"/>
          <w:szCs w:val="22"/>
          <w:lang w:val="fr-FR"/>
        </w:rPr>
      </w:pPr>
      <w:r w:rsidRPr="00B93437">
        <w:rPr>
          <w:rStyle w:val="ECVHeadingBusinessSector"/>
          <w:rFonts w:ascii="Times New Roman" w:hAnsi="Times New Roman"/>
          <w:color w:val="000000" w:themeColor="text1"/>
          <w:sz w:val="22"/>
          <w:szCs w:val="22"/>
          <w:lang w:val="fr-FR"/>
        </w:rPr>
        <w:t xml:space="preserve">Droit administratif général  </w:t>
      </w:r>
    </w:p>
    <w:p w14:paraId="364F0972" w14:textId="77777777" w:rsidR="00D52372" w:rsidRPr="00B93437" w:rsidRDefault="00D52372" w:rsidP="00B93437">
      <w:pPr>
        <w:pStyle w:val="ECVBusinessSectorRow"/>
        <w:numPr>
          <w:ilvl w:val="0"/>
          <w:numId w:val="3"/>
        </w:numPr>
        <w:spacing w:line="276" w:lineRule="auto"/>
        <w:jc w:val="both"/>
        <w:rPr>
          <w:rStyle w:val="ECVHeadingBusinessSector"/>
          <w:rFonts w:ascii="Times New Roman" w:hAnsi="Times New Roman"/>
          <w:color w:val="000000" w:themeColor="text1"/>
          <w:sz w:val="22"/>
          <w:szCs w:val="22"/>
          <w:lang w:val="fr-FR"/>
        </w:rPr>
      </w:pPr>
      <w:r w:rsidRPr="00B93437">
        <w:rPr>
          <w:rStyle w:val="ECVHeadingBusinessSector"/>
          <w:rFonts w:ascii="Times New Roman" w:hAnsi="Times New Roman"/>
          <w:color w:val="000000" w:themeColor="text1"/>
          <w:sz w:val="22"/>
          <w:szCs w:val="22"/>
          <w:lang w:val="fr-FR"/>
        </w:rPr>
        <w:t xml:space="preserve">Droit public économique, </w:t>
      </w:r>
    </w:p>
    <w:p w14:paraId="112A2FE9" w14:textId="77777777" w:rsidR="00D52372" w:rsidRPr="00B93437" w:rsidRDefault="00D52372" w:rsidP="00B93437">
      <w:pPr>
        <w:pStyle w:val="ECVBusinessSectorRow"/>
        <w:numPr>
          <w:ilvl w:val="0"/>
          <w:numId w:val="3"/>
        </w:numPr>
        <w:spacing w:line="276" w:lineRule="auto"/>
        <w:jc w:val="both"/>
        <w:rPr>
          <w:rStyle w:val="ECVHeadingBusinessSector"/>
          <w:rFonts w:ascii="Times New Roman" w:hAnsi="Times New Roman"/>
          <w:color w:val="000000" w:themeColor="text1"/>
          <w:sz w:val="22"/>
          <w:szCs w:val="22"/>
          <w:lang w:val="fr-FR"/>
        </w:rPr>
      </w:pPr>
      <w:r w:rsidRPr="00B93437">
        <w:rPr>
          <w:rStyle w:val="ECVHeadingBusinessSector"/>
          <w:rFonts w:ascii="Times New Roman" w:hAnsi="Times New Roman"/>
          <w:color w:val="000000" w:themeColor="text1"/>
          <w:sz w:val="22"/>
          <w:szCs w:val="22"/>
          <w:lang w:val="fr-FR"/>
        </w:rPr>
        <w:t xml:space="preserve">Droit du contentieux administratif </w:t>
      </w:r>
    </w:p>
    <w:p w14:paraId="1A7CBACA" w14:textId="77777777" w:rsidR="00D52372" w:rsidRPr="00B93437" w:rsidRDefault="00D52372" w:rsidP="00B93437">
      <w:pPr>
        <w:pStyle w:val="ECVBusinessSectorRow"/>
        <w:numPr>
          <w:ilvl w:val="0"/>
          <w:numId w:val="3"/>
        </w:numPr>
        <w:spacing w:line="276" w:lineRule="auto"/>
        <w:jc w:val="both"/>
        <w:rPr>
          <w:rStyle w:val="ECVHeadingBusinessSector"/>
          <w:rFonts w:ascii="Times New Roman" w:hAnsi="Times New Roman"/>
          <w:color w:val="000000" w:themeColor="text1"/>
          <w:sz w:val="22"/>
          <w:szCs w:val="22"/>
          <w:lang w:val="fr-FR"/>
        </w:rPr>
      </w:pPr>
      <w:r w:rsidRPr="00B93437">
        <w:rPr>
          <w:rStyle w:val="ECVHeadingBusinessSector"/>
          <w:rFonts w:ascii="Times New Roman" w:hAnsi="Times New Roman"/>
          <w:color w:val="000000" w:themeColor="text1"/>
          <w:sz w:val="22"/>
          <w:szCs w:val="22"/>
          <w:lang w:val="fr-FR"/>
        </w:rPr>
        <w:t>Droit européen de l’environnement (dans le cadre du Master Droit européen. Double diplôme avec l’Université Toulouse 1-Capitole)</w:t>
      </w:r>
    </w:p>
    <w:p w14:paraId="3E169340" w14:textId="77777777" w:rsidR="00D52372" w:rsidRPr="00B93437" w:rsidRDefault="00D52372" w:rsidP="00B93437">
      <w:pPr>
        <w:pStyle w:val="ECVBusinessSectorRow"/>
        <w:spacing w:line="276" w:lineRule="auto"/>
        <w:rPr>
          <w:i/>
          <w:color w:val="000000" w:themeColor="text1"/>
          <w:sz w:val="22"/>
          <w:szCs w:val="22"/>
          <w:lang w:val="fr-FR"/>
        </w:rPr>
      </w:pPr>
      <w:r w:rsidRPr="00B93437">
        <w:rPr>
          <w:i/>
          <w:color w:val="000000" w:themeColor="text1"/>
          <w:sz w:val="22"/>
          <w:szCs w:val="22"/>
          <w:lang w:val="fr-FR"/>
        </w:rPr>
        <w:t>Recherche</w:t>
      </w:r>
    </w:p>
    <w:p w14:paraId="031BDD1D" w14:textId="77777777" w:rsidR="00D52372" w:rsidRPr="00B93437" w:rsidRDefault="00D52372" w:rsidP="00B93437">
      <w:pPr>
        <w:pStyle w:val="ECVBusinessSectorRow"/>
        <w:numPr>
          <w:ilvl w:val="0"/>
          <w:numId w:val="2"/>
        </w:numPr>
        <w:spacing w:line="276" w:lineRule="auto"/>
        <w:rPr>
          <w:color w:val="000000" w:themeColor="text1"/>
          <w:sz w:val="22"/>
          <w:szCs w:val="22"/>
          <w:lang w:val="fr-FR"/>
        </w:rPr>
      </w:pPr>
      <w:r w:rsidRPr="00B93437">
        <w:rPr>
          <w:color w:val="000000" w:themeColor="text1"/>
          <w:sz w:val="22"/>
          <w:szCs w:val="22"/>
          <w:lang w:val="fr-FR"/>
        </w:rPr>
        <w:t>Surveillance de 9 thèses de doctorat en droit administratif général et en contentieux administratif</w:t>
      </w:r>
    </w:p>
    <w:p w14:paraId="5EFE535C" w14:textId="77777777" w:rsidR="00D52372" w:rsidRPr="00B93437" w:rsidRDefault="00D52372" w:rsidP="00B93437">
      <w:pPr>
        <w:pStyle w:val="ECVBusinessSectorRow"/>
        <w:numPr>
          <w:ilvl w:val="0"/>
          <w:numId w:val="2"/>
        </w:numPr>
        <w:spacing w:line="276" w:lineRule="auto"/>
        <w:jc w:val="both"/>
        <w:rPr>
          <w:color w:val="000000" w:themeColor="text1"/>
          <w:sz w:val="22"/>
          <w:szCs w:val="22"/>
          <w:lang w:val="fr-FR"/>
        </w:rPr>
      </w:pPr>
      <w:r w:rsidRPr="00B93437">
        <w:rPr>
          <w:color w:val="000000" w:themeColor="text1"/>
          <w:sz w:val="22"/>
          <w:szCs w:val="22"/>
          <w:lang w:val="fr-FR"/>
        </w:rPr>
        <w:lastRenderedPageBreak/>
        <w:t>Organisation des colloques, des conférences par des professeurs invités et des séminaires</w:t>
      </w:r>
    </w:p>
    <w:p w14:paraId="3C763FB9" w14:textId="77777777" w:rsidR="007B3734" w:rsidRDefault="007B3734" w:rsidP="00B93437">
      <w:pPr>
        <w:pStyle w:val="ECVBusinessSectorRow"/>
        <w:spacing w:line="276" w:lineRule="auto"/>
        <w:jc w:val="both"/>
        <w:rPr>
          <w:i/>
          <w:color w:val="000000" w:themeColor="text1"/>
          <w:sz w:val="22"/>
          <w:szCs w:val="22"/>
          <w:lang w:val="fr-FR"/>
        </w:rPr>
      </w:pPr>
    </w:p>
    <w:p w14:paraId="5DD0E89C" w14:textId="4AFBE468" w:rsidR="00D52372" w:rsidRPr="00B93437" w:rsidRDefault="00D52372" w:rsidP="00B93437">
      <w:pPr>
        <w:pStyle w:val="ECVBusinessSectorRow"/>
        <w:spacing w:line="276" w:lineRule="auto"/>
        <w:jc w:val="both"/>
        <w:rPr>
          <w:i/>
          <w:color w:val="000000" w:themeColor="text1"/>
          <w:sz w:val="22"/>
          <w:szCs w:val="22"/>
          <w:lang w:val="fr-FR"/>
        </w:rPr>
      </w:pPr>
      <w:r w:rsidRPr="00B93437">
        <w:rPr>
          <w:i/>
          <w:color w:val="000000" w:themeColor="text1"/>
          <w:sz w:val="22"/>
          <w:szCs w:val="22"/>
          <w:lang w:val="fr-FR"/>
        </w:rPr>
        <w:t>Responsabilités administratives à l’Université Aristote</w:t>
      </w:r>
    </w:p>
    <w:p w14:paraId="327880A4" w14:textId="77777777" w:rsidR="00D52372" w:rsidRPr="00B93437" w:rsidRDefault="00D52372" w:rsidP="00B93437">
      <w:pPr>
        <w:pStyle w:val="ECVBusinessSectorRow"/>
        <w:numPr>
          <w:ilvl w:val="0"/>
          <w:numId w:val="1"/>
        </w:numPr>
        <w:spacing w:line="276" w:lineRule="auto"/>
        <w:jc w:val="both"/>
        <w:rPr>
          <w:color w:val="000000" w:themeColor="text1"/>
          <w:sz w:val="22"/>
          <w:szCs w:val="22"/>
          <w:lang w:val="fr-FR"/>
        </w:rPr>
      </w:pPr>
      <w:r w:rsidRPr="00B93437">
        <w:rPr>
          <w:color w:val="000000" w:themeColor="text1"/>
          <w:sz w:val="22"/>
          <w:szCs w:val="22"/>
          <w:lang w:val="fr-FR"/>
        </w:rPr>
        <w:t>Directrice du Département de Droit public (année académique 2015-2016) </w:t>
      </w:r>
    </w:p>
    <w:p w14:paraId="53EBD07E" w14:textId="77777777" w:rsidR="00D52372" w:rsidRPr="00B93437" w:rsidRDefault="00D52372" w:rsidP="00B93437">
      <w:pPr>
        <w:pStyle w:val="ECVBusinessSectorRow"/>
        <w:numPr>
          <w:ilvl w:val="0"/>
          <w:numId w:val="1"/>
        </w:numPr>
        <w:spacing w:line="276" w:lineRule="auto"/>
        <w:jc w:val="both"/>
        <w:rPr>
          <w:color w:val="000000" w:themeColor="text1"/>
          <w:sz w:val="22"/>
          <w:szCs w:val="22"/>
          <w:lang w:val="fr-FR"/>
        </w:rPr>
      </w:pPr>
      <w:r w:rsidRPr="00B93437">
        <w:rPr>
          <w:color w:val="000000" w:themeColor="text1"/>
          <w:sz w:val="22"/>
          <w:szCs w:val="22"/>
          <w:lang w:val="fr-FR"/>
        </w:rPr>
        <w:t xml:space="preserve">Membre du Conseil Décanal de la Faculté de droit (2015-2019) </w:t>
      </w:r>
    </w:p>
    <w:p w14:paraId="18AA6577" w14:textId="77777777" w:rsidR="00D52372" w:rsidRPr="00B93437" w:rsidRDefault="00D52372" w:rsidP="00B93437">
      <w:pPr>
        <w:pStyle w:val="ECVBusinessSectorRow"/>
        <w:numPr>
          <w:ilvl w:val="0"/>
          <w:numId w:val="1"/>
        </w:numPr>
        <w:spacing w:line="276" w:lineRule="auto"/>
        <w:jc w:val="both"/>
        <w:rPr>
          <w:color w:val="000000" w:themeColor="text1"/>
          <w:sz w:val="22"/>
          <w:szCs w:val="22"/>
          <w:lang w:val="fr-FR"/>
        </w:rPr>
      </w:pPr>
      <w:r w:rsidRPr="00B93437">
        <w:rPr>
          <w:color w:val="000000" w:themeColor="text1"/>
          <w:sz w:val="22"/>
          <w:szCs w:val="22"/>
          <w:lang w:val="fr-FR"/>
        </w:rPr>
        <w:t>Membre et vice-présidente du Service Juridique de l’Université (2009-2019)</w:t>
      </w:r>
    </w:p>
    <w:p w14:paraId="0564886D" w14:textId="77777777" w:rsidR="00D52372" w:rsidRPr="00B93437" w:rsidRDefault="00D52372" w:rsidP="00B93437">
      <w:pPr>
        <w:pStyle w:val="ECVBusinessSectorRow"/>
        <w:spacing w:line="276" w:lineRule="auto"/>
        <w:jc w:val="both"/>
        <w:rPr>
          <w:color w:val="000000" w:themeColor="text1"/>
          <w:sz w:val="22"/>
          <w:szCs w:val="22"/>
          <w:lang w:val="fr-FR"/>
        </w:rPr>
      </w:pPr>
    </w:p>
    <w:p w14:paraId="7CD2739E" w14:textId="77777777" w:rsidR="00D52372" w:rsidRPr="00DD6DD1" w:rsidRDefault="00D52372" w:rsidP="00B93437">
      <w:pPr>
        <w:pStyle w:val="ECVBusinessSectorRow"/>
        <w:spacing w:line="276" w:lineRule="auto"/>
        <w:jc w:val="both"/>
        <w:rPr>
          <w:b/>
          <w:bCs/>
          <w:color w:val="000000" w:themeColor="text1"/>
          <w:sz w:val="22"/>
          <w:szCs w:val="22"/>
          <w:lang w:val="fr-FR"/>
        </w:rPr>
      </w:pPr>
      <w:r w:rsidRPr="00DD6DD1">
        <w:rPr>
          <w:b/>
          <w:bCs/>
          <w:color w:val="000000" w:themeColor="text1"/>
          <w:sz w:val="22"/>
          <w:szCs w:val="22"/>
          <w:lang w:val="fr-FR"/>
        </w:rPr>
        <w:t>Fonctions accessoires</w:t>
      </w:r>
    </w:p>
    <w:p w14:paraId="46EF8566" w14:textId="77777777" w:rsidR="007B3734" w:rsidRDefault="007B3734" w:rsidP="00B93437">
      <w:pPr>
        <w:pStyle w:val="ECVBusinessSectorRow"/>
        <w:spacing w:line="276" w:lineRule="auto"/>
        <w:jc w:val="both"/>
        <w:rPr>
          <w:i/>
          <w:sz w:val="22"/>
          <w:szCs w:val="22"/>
          <w:lang w:val="fr-FR"/>
        </w:rPr>
      </w:pPr>
    </w:p>
    <w:p w14:paraId="30AA732E" w14:textId="1F778329" w:rsidR="00D52372" w:rsidRPr="007B3734" w:rsidRDefault="00D52372" w:rsidP="00B93437">
      <w:pPr>
        <w:pStyle w:val="ECVBusinessSectorRow"/>
        <w:spacing w:line="276" w:lineRule="auto"/>
        <w:jc w:val="both"/>
        <w:rPr>
          <w:iCs/>
          <w:sz w:val="22"/>
          <w:szCs w:val="22"/>
          <w:lang w:val="fr-FR"/>
        </w:rPr>
      </w:pPr>
      <w:r w:rsidRPr="007B3734">
        <w:rPr>
          <w:iCs/>
          <w:sz w:val="22"/>
          <w:szCs w:val="22"/>
          <w:lang w:val="fr-FR"/>
        </w:rPr>
        <w:t>Avocat au Barreau d’Athènes</w:t>
      </w:r>
    </w:p>
    <w:p w14:paraId="16116C14" w14:textId="77777777" w:rsidR="00D52372" w:rsidRPr="007B3734" w:rsidRDefault="00D52372" w:rsidP="00B93437">
      <w:pPr>
        <w:pStyle w:val="ECVSectionBullet"/>
        <w:framePr w:vSpace="6" w:wrap="around" w:vAnchor="text" w:hAnchor="text" w:y="6"/>
        <w:spacing w:line="276" w:lineRule="auto"/>
        <w:jc w:val="both"/>
        <w:rPr>
          <w:iCs/>
          <w:sz w:val="22"/>
          <w:szCs w:val="22"/>
          <w:lang w:val="fr-FR"/>
        </w:rPr>
      </w:pPr>
      <w:bookmarkStart w:id="0" w:name="_GoBack"/>
      <w:bookmarkEnd w:id="0"/>
      <w:r w:rsidRPr="007B3734">
        <w:rPr>
          <w:iCs/>
          <w:sz w:val="22"/>
          <w:szCs w:val="22"/>
          <w:lang w:val="fr-FR"/>
        </w:rPr>
        <w:t>Membre du Comité National de Bioéthique et de l’Ethique en Science et en Technologie (organe consultatif rattaché aux Services du Premier ministre, depuis sa création par la loi 4780/2021)</w:t>
      </w:r>
    </w:p>
    <w:p w14:paraId="356BEFDE" w14:textId="77777777" w:rsidR="00D52372" w:rsidRPr="007B3734" w:rsidRDefault="00D52372" w:rsidP="00B93437">
      <w:pPr>
        <w:pStyle w:val="ECVSectionBullet"/>
        <w:framePr w:vSpace="6" w:wrap="around" w:vAnchor="text" w:hAnchor="text" w:y="6"/>
        <w:spacing w:line="276" w:lineRule="auto"/>
        <w:jc w:val="both"/>
        <w:rPr>
          <w:iCs/>
          <w:sz w:val="22"/>
          <w:szCs w:val="22"/>
          <w:lang w:val="fr-FR"/>
        </w:rPr>
      </w:pPr>
    </w:p>
    <w:p w14:paraId="08DDDEC2" w14:textId="77777777" w:rsidR="00D52372" w:rsidRPr="007B3734" w:rsidRDefault="00D52372" w:rsidP="00B93437">
      <w:pPr>
        <w:pStyle w:val="ECVSectionBullet"/>
        <w:spacing w:line="276" w:lineRule="auto"/>
        <w:jc w:val="both"/>
        <w:rPr>
          <w:iCs/>
          <w:sz w:val="22"/>
          <w:szCs w:val="22"/>
          <w:lang w:val="fr-FR"/>
        </w:rPr>
      </w:pPr>
      <w:r w:rsidRPr="007B3734">
        <w:rPr>
          <w:iCs/>
          <w:sz w:val="22"/>
          <w:szCs w:val="22"/>
          <w:lang w:val="fr-FR"/>
        </w:rPr>
        <w:t>Membre de la Commission Nationale pour les Droits de l’Homme</w:t>
      </w:r>
    </w:p>
    <w:p w14:paraId="42B77A6A" w14:textId="77777777" w:rsidR="00D52372" w:rsidRPr="007B3734" w:rsidRDefault="00D52372" w:rsidP="00B93437">
      <w:pPr>
        <w:pStyle w:val="ECVSectionBullet"/>
        <w:framePr w:vSpace="6" w:wrap="around" w:vAnchor="text" w:hAnchor="text" w:y="6"/>
        <w:spacing w:line="276" w:lineRule="auto"/>
        <w:jc w:val="both"/>
        <w:rPr>
          <w:iCs/>
          <w:sz w:val="22"/>
          <w:szCs w:val="22"/>
          <w:lang w:val="fr-FR"/>
        </w:rPr>
      </w:pPr>
    </w:p>
    <w:p w14:paraId="13E0085B" w14:textId="77777777" w:rsidR="00D52372" w:rsidRPr="007B3734" w:rsidRDefault="00D52372" w:rsidP="00B93437">
      <w:pPr>
        <w:pStyle w:val="ECVSectionBullet"/>
        <w:framePr w:vSpace="6" w:wrap="around" w:vAnchor="text" w:hAnchor="text" w:y="6"/>
        <w:spacing w:line="276" w:lineRule="auto"/>
        <w:jc w:val="both"/>
        <w:rPr>
          <w:iCs/>
          <w:sz w:val="22"/>
          <w:szCs w:val="22"/>
          <w:lang w:val="fr-FR"/>
        </w:rPr>
      </w:pPr>
      <w:r w:rsidRPr="007B3734">
        <w:rPr>
          <w:iCs/>
          <w:sz w:val="22"/>
          <w:szCs w:val="22"/>
          <w:lang w:val="fr-FR"/>
        </w:rPr>
        <w:t>Membre de la Cour spéciale prévue par l’article 99 de la Constitution, compétente pour juger les prises à partie contre les magistrats (janvier 2021-janvier 2022)</w:t>
      </w:r>
    </w:p>
    <w:p w14:paraId="14AD485A" w14:textId="77777777" w:rsidR="00D52372" w:rsidRPr="007B3734" w:rsidRDefault="00D52372" w:rsidP="00B93437">
      <w:pPr>
        <w:pStyle w:val="ECVSectionBullet"/>
        <w:framePr w:vSpace="6" w:wrap="around" w:vAnchor="text" w:hAnchor="text" w:y="6"/>
        <w:spacing w:line="276" w:lineRule="auto"/>
        <w:jc w:val="both"/>
        <w:rPr>
          <w:iCs/>
          <w:sz w:val="22"/>
          <w:szCs w:val="22"/>
          <w:lang w:val="fr-FR"/>
        </w:rPr>
      </w:pPr>
    </w:p>
    <w:p w14:paraId="56BD6E80" w14:textId="77777777" w:rsidR="00D52372" w:rsidRPr="007B3734" w:rsidRDefault="00D52372" w:rsidP="00B93437">
      <w:pPr>
        <w:pStyle w:val="ECVBusinessSectorRow"/>
        <w:spacing w:line="276" w:lineRule="auto"/>
        <w:jc w:val="both"/>
        <w:rPr>
          <w:iCs/>
          <w:sz w:val="22"/>
          <w:szCs w:val="22"/>
          <w:lang w:val="fr-FR"/>
        </w:rPr>
      </w:pPr>
      <w:r w:rsidRPr="007B3734">
        <w:rPr>
          <w:iCs/>
          <w:sz w:val="22"/>
          <w:szCs w:val="22"/>
          <w:lang w:val="fr-FR"/>
        </w:rPr>
        <w:t>Membre de la Commission des Recours/Appeals Board de l’Institut Universitaire de Florence (2008-aujourd’hui)</w:t>
      </w:r>
    </w:p>
    <w:p w14:paraId="3C44FB1E" w14:textId="77777777" w:rsidR="00D52372" w:rsidRPr="007B3734" w:rsidRDefault="00D52372" w:rsidP="00B93437">
      <w:pPr>
        <w:pStyle w:val="ECVBusinessSectorRow"/>
        <w:spacing w:line="276" w:lineRule="auto"/>
        <w:jc w:val="both"/>
        <w:rPr>
          <w:iCs/>
          <w:sz w:val="22"/>
          <w:szCs w:val="22"/>
          <w:lang w:val="fr-FR"/>
        </w:rPr>
      </w:pPr>
    </w:p>
    <w:p w14:paraId="3D6286D7" w14:textId="77777777" w:rsidR="00D52372" w:rsidRPr="007B3734" w:rsidRDefault="00D52372" w:rsidP="00B93437">
      <w:pPr>
        <w:pStyle w:val="ECVBusinessSectorRow"/>
        <w:spacing w:line="276" w:lineRule="auto"/>
        <w:jc w:val="both"/>
        <w:rPr>
          <w:iCs/>
          <w:sz w:val="22"/>
          <w:szCs w:val="22"/>
          <w:lang w:val="fr-FR"/>
        </w:rPr>
      </w:pPr>
      <w:r w:rsidRPr="007B3734">
        <w:rPr>
          <w:iCs/>
          <w:sz w:val="22"/>
          <w:szCs w:val="22"/>
          <w:lang w:val="fr-FR"/>
        </w:rPr>
        <w:t>Membres de plusieurs comités de rédaction législative</w:t>
      </w:r>
    </w:p>
    <w:p w14:paraId="07DBB0E3" w14:textId="77777777" w:rsidR="00D52372" w:rsidRPr="00B93437" w:rsidRDefault="00D52372" w:rsidP="00B93437">
      <w:pPr>
        <w:pStyle w:val="ECVBusinessSectorRow"/>
        <w:spacing w:line="276" w:lineRule="auto"/>
        <w:jc w:val="both"/>
        <w:rPr>
          <w:i/>
          <w:sz w:val="22"/>
          <w:szCs w:val="22"/>
          <w:lang w:val="fr-FR"/>
        </w:rPr>
      </w:pPr>
    </w:p>
    <w:p w14:paraId="121DB295" w14:textId="492F6034" w:rsidR="00D52372" w:rsidRDefault="00DD6DD1" w:rsidP="00B93437">
      <w:pPr>
        <w:pStyle w:val="ECVBusinessSectorRow"/>
        <w:spacing w:line="276" w:lineRule="auto"/>
        <w:jc w:val="both"/>
        <w:rPr>
          <w:b/>
          <w:bCs/>
          <w:iCs/>
          <w:sz w:val="22"/>
          <w:szCs w:val="22"/>
          <w:lang w:val="fr-FR"/>
        </w:rPr>
      </w:pPr>
      <w:r w:rsidRPr="00DD6DD1">
        <w:rPr>
          <w:b/>
          <w:bCs/>
          <w:iCs/>
          <w:sz w:val="22"/>
          <w:szCs w:val="22"/>
          <w:lang w:val="fr-FR"/>
        </w:rPr>
        <w:t>Publications</w:t>
      </w:r>
    </w:p>
    <w:p w14:paraId="651AAC66" w14:textId="77777777" w:rsidR="007B3734" w:rsidRDefault="007B3734" w:rsidP="00B93437">
      <w:pPr>
        <w:pStyle w:val="ECVBusinessSectorRow"/>
        <w:spacing w:line="276" w:lineRule="auto"/>
        <w:jc w:val="both"/>
        <w:rPr>
          <w:b/>
          <w:bCs/>
          <w:iCs/>
          <w:sz w:val="22"/>
          <w:szCs w:val="22"/>
          <w:lang w:val="fr-FR"/>
        </w:rPr>
      </w:pPr>
    </w:p>
    <w:p w14:paraId="0C573B37" w14:textId="2373D650" w:rsidR="007B3734" w:rsidRPr="00DD6DD1" w:rsidRDefault="007B3734" w:rsidP="00B93437">
      <w:pPr>
        <w:pStyle w:val="ECVBusinessSectorRow"/>
        <w:spacing w:line="276" w:lineRule="auto"/>
        <w:jc w:val="both"/>
        <w:rPr>
          <w:b/>
          <w:bCs/>
          <w:iCs/>
          <w:sz w:val="22"/>
          <w:szCs w:val="22"/>
          <w:lang w:val="fr-FR"/>
        </w:rPr>
      </w:pPr>
      <w:r>
        <w:rPr>
          <w:b/>
          <w:bCs/>
          <w:iCs/>
          <w:sz w:val="22"/>
          <w:szCs w:val="22"/>
          <w:lang w:val="fr-FR"/>
        </w:rPr>
        <w:t>Ouvrages</w:t>
      </w:r>
    </w:p>
    <w:p w14:paraId="1858C7DC" w14:textId="77777777" w:rsidR="00D52372" w:rsidRPr="00B93437" w:rsidRDefault="00D52372" w:rsidP="00B93437">
      <w:pPr>
        <w:pStyle w:val="Paragraphedeliste"/>
        <w:numPr>
          <w:ilvl w:val="0"/>
          <w:numId w:val="16"/>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Les recours administratifs obligatoires. Étude comparée des droits allemand et français, Préface Yves Gaudemet, Paris, LGDJ, 1996, p. 404 (en français)</w:t>
      </w:r>
    </w:p>
    <w:p w14:paraId="20F81293" w14:textId="77777777" w:rsidR="00D52372" w:rsidRPr="00B93437" w:rsidRDefault="00D52372" w:rsidP="00B93437">
      <w:pPr>
        <w:pStyle w:val="Paragraphedeliste"/>
        <w:numPr>
          <w:ilvl w:val="0"/>
          <w:numId w:val="16"/>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 xml:space="preserve">Le principe de confiance légitime en droit public français, Préface Ép. Spiliotopoulos, Institut d’histoire constitutionnelle hellénique et de droit constitutionnel, Études 8, éd. Droit &amp; Économie – P. N. Sakkoulas, Athènes 1998, </w:t>
      </w:r>
      <w:r w:rsidRPr="00B93437">
        <w:rPr>
          <w:color w:val="000000" w:themeColor="text1"/>
          <w:sz w:val="22"/>
          <w:szCs w:val="22"/>
        </w:rPr>
        <w:t>σ</w:t>
      </w:r>
      <w:r w:rsidRPr="00B93437">
        <w:rPr>
          <w:color w:val="000000" w:themeColor="text1"/>
          <w:sz w:val="22"/>
          <w:szCs w:val="22"/>
          <w:lang w:val="fr-FR"/>
        </w:rPr>
        <w:t>. 130 (en français)</w:t>
      </w:r>
    </w:p>
    <w:p w14:paraId="14F3D7DA" w14:textId="1242C553" w:rsidR="00D52372" w:rsidRPr="007B3734" w:rsidRDefault="00D52372" w:rsidP="007B3734">
      <w:pPr>
        <w:pStyle w:val="Paragraphedeliste"/>
        <w:numPr>
          <w:ilvl w:val="0"/>
          <w:numId w:val="16"/>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 xml:space="preserve">L’évolution de l’autonomie procédurale des États membres de l’Union européenne. Recherches sur le pouvoir du juge administratif d’apprécier d’office la compatibilité du droit national avec le droit communautaire, Préface Gérard Timsit, </w:t>
      </w:r>
      <w:r w:rsidRPr="00B93437">
        <w:rPr>
          <w:color w:val="000000" w:themeColor="text1"/>
          <w:sz w:val="22"/>
          <w:szCs w:val="22"/>
        </w:rPr>
        <w:t>Ε</w:t>
      </w:r>
      <w:r w:rsidRPr="00B93437">
        <w:rPr>
          <w:color w:val="000000" w:themeColor="text1"/>
          <w:sz w:val="22"/>
          <w:szCs w:val="22"/>
          <w:lang w:val="fr-FR"/>
        </w:rPr>
        <w:t>uropean Public Law Series/Bibliothèque de Droit Public, vol. XII, p. 289 (en français)</w:t>
      </w:r>
    </w:p>
    <w:p w14:paraId="1AE3D4B7" w14:textId="489F12A9" w:rsidR="00D52372" w:rsidRPr="007B3734" w:rsidRDefault="00D52372" w:rsidP="007B3734">
      <w:pPr>
        <w:pStyle w:val="Paragraphedeliste"/>
        <w:numPr>
          <w:ilvl w:val="0"/>
          <w:numId w:val="16"/>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L’opération administrative complexe. Droit national et perspective communautaire, Sakkoulas, Athènes-Salonique, 2005, p. 486 (en grec)</w:t>
      </w:r>
    </w:p>
    <w:p w14:paraId="6DB53248" w14:textId="404928F4" w:rsidR="00D52372" w:rsidRPr="007B3734" w:rsidRDefault="00D52372" w:rsidP="007B3734">
      <w:pPr>
        <w:pStyle w:val="Paragraphedeliste"/>
        <w:numPr>
          <w:ilvl w:val="0"/>
          <w:numId w:val="16"/>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Le non-lieu à statuer dans le procès administratif, Sakkoulas, Athènes-Salonique, 2012, p. 372 (en grec)</w:t>
      </w:r>
    </w:p>
    <w:p w14:paraId="2DCA4E8F" w14:textId="0094DDEE" w:rsidR="00D52372" w:rsidRPr="007B3734" w:rsidRDefault="00D52372" w:rsidP="007B3734">
      <w:pPr>
        <w:pStyle w:val="Paragraphedeliste"/>
        <w:numPr>
          <w:ilvl w:val="0"/>
          <w:numId w:val="16"/>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L’influence du droit européen sur le procès devant le Conseil d’Etat, Nomiki Bibliothiki, 2012, p. XX+236 (en grec)</w:t>
      </w:r>
    </w:p>
    <w:p w14:paraId="4534873C" w14:textId="77777777" w:rsidR="00D52372" w:rsidRPr="00B93437" w:rsidRDefault="00D52372" w:rsidP="00B93437">
      <w:pPr>
        <w:pStyle w:val="Paragraphedeliste"/>
        <w:numPr>
          <w:ilvl w:val="0"/>
          <w:numId w:val="16"/>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Les règles de soft law en droit administratif, Préface Ath. Rantos, Sakkoulas, Athènes-Salonique, 2017, p. 325 (en grec)</w:t>
      </w:r>
    </w:p>
    <w:p w14:paraId="0B34E6FC" w14:textId="77777777" w:rsidR="00D52372" w:rsidRPr="00B93437" w:rsidRDefault="00D52372" w:rsidP="00B93437">
      <w:pPr>
        <w:pStyle w:val="ECVSectionBullet"/>
        <w:numPr>
          <w:ilvl w:val="0"/>
          <w:numId w:val="5"/>
        </w:numPr>
        <w:spacing w:line="276" w:lineRule="auto"/>
        <w:rPr>
          <w:b/>
          <w:sz w:val="22"/>
          <w:szCs w:val="22"/>
          <w:lang w:val="fr-FR"/>
        </w:rPr>
      </w:pPr>
      <w:r w:rsidRPr="00B93437">
        <w:rPr>
          <w:b/>
          <w:sz w:val="22"/>
          <w:szCs w:val="22"/>
          <w:lang w:val="fr-FR"/>
        </w:rPr>
        <w:lastRenderedPageBreak/>
        <w:t>Commentaires article par article</w:t>
      </w:r>
    </w:p>
    <w:p w14:paraId="078E1164"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b/>
          <w:color w:val="000000" w:themeColor="text1"/>
          <w:sz w:val="22"/>
          <w:szCs w:val="22"/>
          <w:lang w:val="fr-FR"/>
        </w:rPr>
        <w:t>I.</w:t>
      </w:r>
      <w:r w:rsidRPr="00B93437">
        <w:rPr>
          <w:rFonts w:ascii="Times New Roman" w:hAnsi="Times New Roman" w:cs="Times New Roman"/>
          <w:i/>
          <w:color w:val="000000" w:themeColor="text1"/>
          <w:sz w:val="22"/>
          <w:szCs w:val="22"/>
          <w:lang w:val="fr-FR"/>
        </w:rPr>
        <w:t xml:space="preserve"> Vassilios Skouris (éd.),</w:t>
      </w:r>
      <w:r w:rsidRPr="00B93437">
        <w:rPr>
          <w:rFonts w:ascii="Times New Roman" w:hAnsi="Times New Roman" w:cs="Times New Roman"/>
          <w:color w:val="000000" w:themeColor="text1"/>
          <w:sz w:val="22"/>
          <w:szCs w:val="22"/>
          <w:lang w:val="fr-FR"/>
        </w:rPr>
        <w:t xml:space="preserve"> Le Traité de Lisbonne. Commentaire article par article des nouveaux Traités (TUE-TFUE-Charte des Droits Fondamentaux de l’UE), Sakkoulas, Athènes-Salonique, 2020</w:t>
      </w:r>
    </w:p>
    <w:p w14:paraId="703DD383"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1 TUE, Institution et fondement juridique de l’UE, p. 3-21</w:t>
      </w:r>
    </w:p>
    <w:p w14:paraId="0EE82C8C"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2 TUE, Les valeurs de l’UE, p. 22-32</w:t>
      </w:r>
    </w:p>
    <w:p w14:paraId="7C01B62C"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3 TUE, Les objectifs de l’UE, p. 33-47</w:t>
      </w:r>
    </w:p>
    <w:p w14:paraId="68B6A27A"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4 TUE, Les principes de structure fédérale, p. 48-87</w:t>
      </w:r>
    </w:p>
    <w:p w14:paraId="4184231F"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40 TUE, Relation entre la PESC et les autres politiques de l’UE, p. 231-238</w:t>
      </w:r>
    </w:p>
    <w:p w14:paraId="05443F52"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47 TUE, La personnalité juridique de l’UE, p. 263-272</w:t>
      </w:r>
    </w:p>
    <w:p w14:paraId="263DE536"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48 TUE, La révision des Traités, p. 273-281</w:t>
      </w:r>
    </w:p>
    <w:p w14:paraId="2F8F19D7"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49 TUE, L’adhésion des nouveaux Etats, p. 282-288</w:t>
      </w:r>
    </w:p>
    <w:p w14:paraId="1FDF230D"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50 TUE, Retrait de l’UE, p. 289-296</w:t>
      </w:r>
    </w:p>
    <w:p w14:paraId="4E506A4F"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Articles 51-55 TUE, Dispositions finales, p. 297-311</w:t>
      </w:r>
    </w:p>
    <w:p w14:paraId="7E0B4890"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1 TFUE, Le domaine d’application du TFUE. La valeur juridique des Traités, p. 315-325</w:t>
      </w:r>
    </w:p>
    <w:p w14:paraId="11EBC3C9"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2 TFUE, Catégories et domaines de compétence de l’UE, p. 326-334</w:t>
      </w:r>
    </w:p>
    <w:p w14:paraId="1CC2B915"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Articles 3 et 4 TFUE, Compétences exclusives et partagées, p. 335-342</w:t>
      </w:r>
    </w:p>
    <w:p w14:paraId="754323E8"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Articles 220 et 221 TFUE, Les rapports de l’Union avec des organisations internationales et les pays tiers et délégations de l’Union, p. 1629-1638</w:t>
      </w:r>
    </w:p>
    <w:p w14:paraId="2BC56DD9"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349  TFUE, Mesures spécifiques pour des régions ultrapériphériques,  p. 2031-2032</w:t>
      </w:r>
    </w:p>
    <w:p w14:paraId="5013ED55"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350  TFUE, Les relations de l’UE avec les unions régionales, p. 2033-2035</w:t>
      </w:r>
    </w:p>
    <w:p w14:paraId="2784A501"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444444"/>
          <w:sz w:val="22"/>
          <w:szCs w:val="22"/>
          <w:shd w:val="clear" w:color="auto" w:fill="FFFFFF"/>
          <w:lang w:val="fr-FR"/>
        </w:rPr>
      </w:pPr>
      <w:r w:rsidRPr="00B93437">
        <w:rPr>
          <w:rFonts w:ascii="Times New Roman" w:hAnsi="Times New Roman" w:cs="Times New Roman"/>
          <w:color w:val="000000" w:themeColor="text1"/>
          <w:sz w:val="22"/>
          <w:szCs w:val="22"/>
          <w:lang w:val="fr-FR"/>
        </w:rPr>
        <w:t>-  Article 351 TFUE, Les</w:t>
      </w:r>
      <w:r w:rsidRPr="00B93437">
        <w:rPr>
          <w:rFonts w:ascii="Times New Roman" w:hAnsi="Times New Roman" w:cs="Times New Roman"/>
          <w:color w:val="444444"/>
          <w:sz w:val="22"/>
          <w:szCs w:val="22"/>
          <w:shd w:val="clear" w:color="auto" w:fill="FFFFFF"/>
          <w:lang w:val="fr-FR"/>
        </w:rPr>
        <w:t xml:space="preserve"> conventions conclues antérieurement au 1</w:t>
      </w:r>
      <w:r w:rsidRPr="00B93437">
        <w:rPr>
          <w:rStyle w:val="super"/>
          <w:rFonts w:ascii="Times New Roman" w:hAnsi="Times New Roman" w:cs="Times New Roman"/>
          <w:color w:val="444444"/>
          <w:sz w:val="22"/>
          <w:szCs w:val="22"/>
          <w:vertAlign w:val="superscript"/>
          <w:lang w:val="fr-FR"/>
        </w:rPr>
        <w:t>er</w:t>
      </w:r>
      <w:r w:rsidRPr="00B93437">
        <w:rPr>
          <w:rFonts w:ascii="Times New Roman" w:hAnsi="Times New Roman" w:cs="Times New Roman"/>
          <w:color w:val="444444"/>
          <w:sz w:val="22"/>
          <w:szCs w:val="22"/>
          <w:shd w:val="clear" w:color="auto" w:fill="FFFFFF"/>
          <w:lang w:val="fr-FR"/>
        </w:rPr>
        <w:t> janvier 1958, p. 2036-2045</w:t>
      </w:r>
    </w:p>
    <w:p w14:paraId="26BAEA03"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 352 TFUE, La clause de fléxibilité, p. 2046-2069</w:t>
      </w:r>
    </w:p>
    <w:p w14:paraId="62139D32" w14:textId="701CFCCD"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color w:val="000000" w:themeColor="text1"/>
          <w:sz w:val="22"/>
          <w:szCs w:val="22"/>
          <w:lang w:val="fr-FR"/>
        </w:rPr>
        <w:t>- Articles 353 – 358 TFUE, Dispositions finales, p. 2070-2084</w:t>
      </w:r>
    </w:p>
    <w:p w14:paraId="25827E3A" w14:textId="77777777" w:rsidR="00D52372" w:rsidRPr="00B93437" w:rsidRDefault="00D52372" w:rsidP="00B93437">
      <w:pPr>
        <w:spacing w:before="100" w:beforeAutospacing="1" w:after="100" w:afterAutospacing="1" w:line="276" w:lineRule="auto"/>
        <w:jc w:val="both"/>
        <w:rPr>
          <w:rFonts w:ascii="Times New Roman" w:hAnsi="Times New Roman" w:cs="Times New Roman"/>
          <w:color w:val="000000" w:themeColor="text1"/>
          <w:sz w:val="22"/>
          <w:szCs w:val="22"/>
          <w:lang w:val="fr-FR"/>
        </w:rPr>
      </w:pPr>
      <w:r w:rsidRPr="00B93437">
        <w:rPr>
          <w:rFonts w:ascii="Times New Roman" w:hAnsi="Times New Roman" w:cs="Times New Roman"/>
          <w:b/>
          <w:color w:val="000000" w:themeColor="text1"/>
          <w:sz w:val="22"/>
          <w:szCs w:val="22"/>
          <w:lang w:val="fr-FR"/>
        </w:rPr>
        <w:lastRenderedPageBreak/>
        <w:t>II.</w:t>
      </w:r>
      <w:r w:rsidRPr="00B93437">
        <w:rPr>
          <w:rFonts w:ascii="Times New Roman" w:hAnsi="Times New Roman" w:cs="Times New Roman"/>
          <w:color w:val="000000" w:themeColor="text1"/>
          <w:sz w:val="22"/>
          <w:szCs w:val="22"/>
          <w:lang w:val="fr-FR"/>
        </w:rPr>
        <w:t xml:space="preserve"> </w:t>
      </w:r>
      <w:r w:rsidRPr="00B93437">
        <w:rPr>
          <w:rFonts w:ascii="Times New Roman" w:hAnsi="Times New Roman" w:cs="Times New Roman"/>
          <w:i/>
          <w:color w:val="000000" w:themeColor="text1"/>
          <w:sz w:val="22"/>
          <w:szCs w:val="22"/>
          <w:lang w:val="fr-FR"/>
        </w:rPr>
        <w:t>Spyropoulos/Kontiades/Anthopoulos/Gerapetritis (éd</w:t>
      </w:r>
      <w:r w:rsidRPr="00B93437">
        <w:rPr>
          <w:rFonts w:ascii="Times New Roman" w:hAnsi="Times New Roman" w:cs="Times New Roman"/>
          <w:color w:val="000000" w:themeColor="text1"/>
          <w:sz w:val="22"/>
          <w:szCs w:val="22"/>
          <w:lang w:val="fr-FR"/>
        </w:rPr>
        <w:t>.), La Constitution. Commentaire article par article, Sakkoulas, Athènes-Salonique, 2017</w:t>
      </w:r>
    </w:p>
    <w:p w14:paraId="1A31429A" w14:textId="77777777" w:rsidR="00D52372" w:rsidRPr="00B93437" w:rsidRDefault="00D52372" w:rsidP="00B93437">
      <w:pPr>
        <w:pStyle w:val="Paragraphedeliste"/>
        <w:numPr>
          <w:ilvl w:val="0"/>
          <w:numId w:val="8"/>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Article 43 C, Habilitation législative, p. 887-915</w:t>
      </w:r>
    </w:p>
    <w:p w14:paraId="6ED4C504" w14:textId="77777777" w:rsidR="00D52372" w:rsidRPr="00B93437" w:rsidRDefault="00D52372" w:rsidP="00B93437">
      <w:pPr>
        <w:pStyle w:val="Paragraphedeliste"/>
        <w:numPr>
          <w:ilvl w:val="0"/>
          <w:numId w:val="8"/>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Article 94 par. 4 C, Modalités d’exécution des décisions juridictionnelles par l’Administration, p. 1441-1448</w:t>
      </w:r>
    </w:p>
    <w:p w14:paraId="739717B2" w14:textId="77777777" w:rsidR="00D52372" w:rsidRPr="00B93437" w:rsidRDefault="00D52372" w:rsidP="00B93437">
      <w:pPr>
        <w:pStyle w:val="Paragraphedeliste"/>
        <w:numPr>
          <w:ilvl w:val="0"/>
          <w:numId w:val="8"/>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Article 95 par. 1 C, Compétence d’annulation du Conseil d’Etat – Notion de l’acte faisant grief, p. 1449-1478</w:t>
      </w:r>
    </w:p>
    <w:p w14:paraId="51C46C84" w14:textId="2A25636B" w:rsidR="00D52372" w:rsidRPr="00DD6DD1" w:rsidRDefault="00D52372" w:rsidP="00DD6DD1">
      <w:pPr>
        <w:pStyle w:val="Paragraphedeliste"/>
        <w:numPr>
          <w:ilvl w:val="0"/>
          <w:numId w:val="8"/>
        </w:numPr>
        <w:spacing w:before="100" w:beforeAutospacing="1" w:after="100" w:afterAutospacing="1" w:line="276" w:lineRule="auto"/>
        <w:jc w:val="both"/>
        <w:rPr>
          <w:color w:val="000000" w:themeColor="text1"/>
          <w:sz w:val="22"/>
          <w:szCs w:val="22"/>
          <w:lang w:val="fr-FR"/>
        </w:rPr>
      </w:pPr>
      <w:r w:rsidRPr="00B93437">
        <w:rPr>
          <w:color w:val="000000" w:themeColor="text1"/>
          <w:sz w:val="22"/>
          <w:szCs w:val="22"/>
          <w:lang w:val="fr-FR"/>
        </w:rPr>
        <w:t>Article 95 par. 5 C, Exécution des décisions juridictionnelles par l’Administration, p. 1498-1509</w:t>
      </w:r>
    </w:p>
    <w:p w14:paraId="7783ED73" w14:textId="77777777" w:rsidR="00D52372" w:rsidRPr="00B93437" w:rsidRDefault="00D52372" w:rsidP="00B93437">
      <w:pPr>
        <w:pStyle w:val="ECVSectionBullet"/>
        <w:spacing w:line="276" w:lineRule="auto"/>
        <w:ind w:left="113"/>
        <w:rPr>
          <w:sz w:val="22"/>
          <w:szCs w:val="22"/>
          <w:lang w:val="fr-FR"/>
        </w:rPr>
      </w:pPr>
      <w:r w:rsidRPr="00B93437">
        <w:rPr>
          <w:b/>
          <w:sz w:val="22"/>
          <w:szCs w:val="22"/>
          <w:lang w:val="fr-FR"/>
        </w:rPr>
        <w:t>III.</w:t>
      </w:r>
      <w:r w:rsidRPr="00B93437">
        <w:rPr>
          <w:sz w:val="22"/>
          <w:szCs w:val="22"/>
          <w:lang w:val="fr-FR"/>
        </w:rPr>
        <w:t xml:space="preserve"> </w:t>
      </w:r>
      <w:r w:rsidRPr="00B93437">
        <w:rPr>
          <w:i/>
          <w:sz w:val="22"/>
          <w:szCs w:val="22"/>
          <w:lang w:val="fr-FR"/>
        </w:rPr>
        <w:t>Gertsos/Prevedourou/Pyrgakis (éd.),</w:t>
      </w:r>
      <w:r w:rsidRPr="00B93437">
        <w:rPr>
          <w:sz w:val="22"/>
          <w:szCs w:val="22"/>
          <w:lang w:val="fr-FR"/>
        </w:rPr>
        <w:t xml:space="preserve"> Code de procédure administrative non contentieuse. Commentaire article par article,  Nomiki Bibliothiki, 2019</w:t>
      </w:r>
    </w:p>
    <w:p w14:paraId="1B394B64" w14:textId="77777777" w:rsidR="00D52372" w:rsidRPr="00B93437" w:rsidRDefault="00D52372" w:rsidP="00B93437">
      <w:pPr>
        <w:pStyle w:val="ECVSectionBullet"/>
        <w:spacing w:line="276" w:lineRule="auto"/>
        <w:ind w:left="113"/>
        <w:rPr>
          <w:sz w:val="22"/>
          <w:szCs w:val="22"/>
          <w:lang w:val="fr-FR"/>
        </w:rPr>
      </w:pPr>
    </w:p>
    <w:p w14:paraId="000E037D" w14:textId="77777777" w:rsidR="00D52372" w:rsidRPr="00B93437" w:rsidRDefault="00D52372" w:rsidP="00B93437">
      <w:pPr>
        <w:pStyle w:val="ECVSectionBullet"/>
        <w:numPr>
          <w:ilvl w:val="0"/>
          <w:numId w:val="8"/>
        </w:numPr>
        <w:spacing w:line="276" w:lineRule="auto"/>
        <w:rPr>
          <w:sz w:val="22"/>
          <w:szCs w:val="22"/>
          <w:lang w:val="fr-FR"/>
        </w:rPr>
      </w:pPr>
      <w:r w:rsidRPr="00B93437">
        <w:rPr>
          <w:sz w:val="22"/>
          <w:szCs w:val="22"/>
          <w:lang w:val="fr-FR"/>
        </w:rPr>
        <w:t>Article 24 CPA, Recours gracieux – Recours hiérarchique, p. 766-796</w:t>
      </w:r>
    </w:p>
    <w:p w14:paraId="34A882D1" w14:textId="77777777" w:rsidR="00D52372" w:rsidRPr="00B93437" w:rsidRDefault="00D52372" w:rsidP="00B93437">
      <w:pPr>
        <w:pStyle w:val="ECVSectionBullet"/>
        <w:numPr>
          <w:ilvl w:val="0"/>
          <w:numId w:val="8"/>
        </w:numPr>
        <w:spacing w:line="276" w:lineRule="auto"/>
        <w:rPr>
          <w:sz w:val="22"/>
          <w:szCs w:val="22"/>
          <w:lang w:val="fr-FR"/>
        </w:rPr>
      </w:pPr>
      <w:r w:rsidRPr="00B93437">
        <w:rPr>
          <w:sz w:val="22"/>
          <w:szCs w:val="22"/>
          <w:lang w:val="fr-FR"/>
        </w:rPr>
        <w:t>Article 30 CPA, La notion d’ l’acte administrarif, p. 853-873</w:t>
      </w:r>
    </w:p>
    <w:p w14:paraId="3FAF4C71" w14:textId="77777777" w:rsidR="00D52372" w:rsidRPr="00B93437" w:rsidRDefault="00D52372" w:rsidP="00B93437">
      <w:pPr>
        <w:pStyle w:val="ECVSectionBullet"/>
        <w:numPr>
          <w:ilvl w:val="0"/>
          <w:numId w:val="8"/>
        </w:numPr>
        <w:spacing w:line="276" w:lineRule="auto"/>
        <w:rPr>
          <w:sz w:val="22"/>
          <w:szCs w:val="22"/>
          <w:lang w:val="fr-FR"/>
        </w:rPr>
      </w:pPr>
      <w:r w:rsidRPr="00B93437">
        <w:rPr>
          <w:sz w:val="22"/>
          <w:szCs w:val="22"/>
          <w:lang w:val="fr-FR"/>
        </w:rPr>
        <w:t>Article II CPA, Les Chartes d’obligations, p. 882-893</w:t>
      </w:r>
    </w:p>
    <w:p w14:paraId="43145B39" w14:textId="77777777" w:rsidR="00D52372" w:rsidRPr="00B93437" w:rsidRDefault="00D52372" w:rsidP="00B93437">
      <w:pPr>
        <w:pStyle w:val="ECVSectionBullet"/>
        <w:spacing w:line="276" w:lineRule="auto"/>
        <w:rPr>
          <w:sz w:val="22"/>
          <w:szCs w:val="22"/>
          <w:lang w:val="fr-FR"/>
        </w:rPr>
      </w:pPr>
    </w:p>
    <w:p w14:paraId="7EFC812E" w14:textId="77777777" w:rsidR="00D52372" w:rsidRPr="00B93437" w:rsidRDefault="00D52372" w:rsidP="00B93437">
      <w:pPr>
        <w:pStyle w:val="ECVSectionBullet"/>
        <w:spacing w:line="276" w:lineRule="auto"/>
        <w:rPr>
          <w:sz w:val="22"/>
          <w:szCs w:val="22"/>
          <w:lang w:val="fr-FR"/>
        </w:rPr>
      </w:pPr>
      <w:r w:rsidRPr="00B93437">
        <w:rPr>
          <w:b/>
          <w:sz w:val="22"/>
          <w:szCs w:val="22"/>
          <w:lang w:val="fr-FR"/>
        </w:rPr>
        <w:t>IV.</w:t>
      </w:r>
      <w:r w:rsidRPr="00B93437">
        <w:rPr>
          <w:sz w:val="22"/>
          <w:szCs w:val="22"/>
          <w:lang w:val="fr-FR"/>
        </w:rPr>
        <w:t xml:space="preserve">  </w:t>
      </w:r>
      <w:r w:rsidRPr="00B93437">
        <w:rPr>
          <w:i/>
          <w:sz w:val="22"/>
          <w:szCs w:val="22"/>
          <w:lang w:val="fr-FR"/>
        </w:rPr>
        <w:t>C. Gogos/I. Konstantinou (éd.),</w:t>
      </w:r>
      <w:r w:rsidRPr="00B93437">
        <w:rPr>
          <w:sz w:val="22"/>
          <w:szCs w:val="22"/>
          <w:lang w:val="fr-FR"/>
        </w:rPr>
        <w:t xml:space="preserve"> Code des avocats. Commentaire article par article, Nomiki Bibliothiki, 2019</w:t>
      </w:r>
    </w:p>
    <w:p w14:paraId="37F4BBFF" w14:textId="77777777" w:rsidR="00D52372" w:rsidRPr="00B93437" w:rsidRDefault="00D52372" w:rsidP="00B93437">
      <w:pPr>
        <w:pStyle w:val="ECVSectionBullet"/>
        <w:spacing w:line="276" w:lineRule="auto"/>
        <w:rPr>
          <w:sz w:val="22"/>
          <w:szCs w:val="22"/>
          <w:lang w:val="fr-FR"/>
        </w:rPr>
      </w:pPr>
    </w:p>
    <w:p w14:paraId="42DCE9E6" w14:textId="77777777" w:rsidR="00D52372" w:rsidRPr="00DD6DD1" w:rsidRDefault="00D52372" w:rsidP="00B93437">
      <w:pPr>
        <w:pStyle w:val="Paragraphedeliste"/>
        <w:numPr>
          <w:ilvl w:val="0"/>
          <w:numId w:val="8"/>
        </w:numPr>
        <w:spacing w:line="276" w:lineRule="auto"/>
        <w:jc w:val="both"/>
        <w:rPr>
          <w:sz w:val="22"/>
          <w:szCs w:val="22"/>
          <w:lang w:val="fr-FR"/>
        </w:rPr>
      </w:pPr>
      <w:r w:rsidRPr="00B93437">
        <w:rPr>
          <w:sz w:val="22"/>
          <w:szCs w:val="22"/>
          <w:lang w:val="fr-FR"/>
        </w:rPr>
        <w:t xml:space="preserve">Commentaire des articles du décret présidentiel 152/2000 (16 articles), qui transpose en droit hellénique la </w:t>
      </w:r>
      <w:r w:rsidRPr="00B93437">
        <w:rPr>
          <w:color w:val="444444"/>
          <w:sz w:val="22"/>
          <w:szCs w:val="22"/>
          <w:shd w:val="clear" w:color="auto" w:fill="FFFFFF"/>
          <w:lang w:val="fr-FR"/>
        </w:rPr>
        <w:t>Directive 98/5/CE du Parlement européen et du Conseil du 16 février 1998 visant à faciliter l'exercice permanent de la profession d'avocat dans un État membre autre que celui où la qualification a été acquise, p. 489-532</w:t>
      </w:r>
    </w:p>
    <w:p w14:paraId="13250297" w14:textId="77777777" w:rsidR="00DD6DD1" w:rsidRDefault="00DD6DD1" w:rsidP="00DD6DD1">
      <w:pPr>
        <w:spacing w:line="276" w:lineRule="auto"/>
        <w:jc w:val="both"/>
        <w:rPr>
          <w:sz w:val="22"/>
          <w:szCs w:val="22"/>
          <w:lang w:val="fr-FR"/>
        </w:rPr>
      </w:pPr>
    </w:p>
    <w:p w14:paraId="6CC51526" w14:textId="39C42543" w:rsidR="00D52372" w:rsidRPr="00B93437" w:rsidRDefault="00D52372" w:rsidP="00B93437">
      <w:pPr>
        <w:spacing w:line="276" w:lineRule="auto"/>
        <w:jc w:val="both"/>
        <w:rPr>
          <w:rFonts w:ascii="Times New Roman" w:hAnsi="Times New Roman" w:cs="Times New Roman"/>
          <w:sz w:val="22"/>
          <w:szCs w:val="22"/>
          <w:lang w:val="fr-FR"/>
        </w:rPr>
      </w:pPr>
      <w:r w:rsidRPr="00B93437">
        <w:rPr>
          <w:rFonts w:ascii="Times New Roman" w:hAnsi="Times New Roman" w:cs="Times New Roman"/>
          <w:b/>
          <w:bCs/>
          <w:sz w:val="22"/>
          <w:szCs w:val="22"/>
          <w:lang w:val="fr-FR"/>
        </w:rPr>
        <w:t>V.</w:t>
      </w:r>
      <w:r w:rsidRPr="00B93437">
        <w:rPr>
          <w:rFonts w:ascii="Times New Roman" w:hAnsi="Times New Roman" w:cs="Times New Roman"/>
          <w:sz w:val="22"/>
          <w:szCs w:val="22"/>
          <w:lang w:val="fr-FR"/>
        </w:rPr>
        <w:t xml:space="preserve"> </w:t>
      </w:r>
      <w:r w:rsidRPr="00B93437">
        <w:rPr>
          <w:rFonts w:ascii="Times New Roman" w:hAnsi="Times New Roman" w:cs="Times New Roman"/>
          <w:i/>
          <w:iCs/>
          <w:sz w:val="22"/>
          <w:szCs w:val="22"/>
          <w:lang w:val="fr-FR"/>
        </w:rPr>
        <w:t>A. Rantos/E. Prevedourou</w:t>
      </w:r>
      <w:r w:rsidRPr="00B93437">
        <w:rPr>
          <w:rFonts w:ascii="Times New Roman" w:hAnsi="Times New Roman" w:cs="Times New Roman"/>
          <w:sz w:val="22"/>
          <w:szCs w:val="22"/>
          <w:lang w:val="fr-FR"/>
        </w:rPr>
        <w:t xml:space="preserve"> </w:t>
      </w:r>
      <w:r w:rsidRPr="00B93437">
        <w:rPr>
          <w:rFonts w:ascii="Times New Roman" w:hAnsi="Times New Roman" w:cs="Times New Roman"/>
          <w:i/>
          <w:sz w:val="22"/>
          <w:szCs w:val="22"/>
          <w:lang w:val="fr-FR"/>
        </w:rPr>
        <w:t>(éd.),</w:t>
      </w:r>
      <w:r w:rsidRPr="00B93437">
        <w:rPr>
          <w:rFonts w:ascii="Times New Roman" w:hAnsi="Times New Roman" w:cs="Times New Roman"/>
          <w:sz w:val="22"/>
          <w:szCs w:val="22"/>
          <w:lang w:val="fr-FR"/>
        </w:rPr>
        <w:t xml:space="preserve"> Le recours pour exc</w:t>
      </w:r>
      <w:r w:rsidRPr="00B93437">
        <w:rPr>
          <w:rFonts w:ascii="Times New Roman" w:hAnsi="Times New Roman" w:cs="Times New Roman"/>
          <w:color w:val="000000" w:themeColor="text1"/>
          <w:sz w:val="22"/>
          <w:szCs w:val="22"/>
          <w:lang w:val="fr-FR"/>
        </w:rPr>
        <w:t xml:space="preserve">ès de pouvoir en droit hellenique, Nomiki </w:t>
      </w:r>
      <w:r w:rsidRPr="00B93437">
        <w:rPr>
          <w:rFonts w:ascii="Times New Roman" w:hAnsi="Times New Roman" w:cs="Times New Roman"/>
          <w:sz w:val="22"/>
          <w:szCs w:val="22"/>
          <w:lang w:val="fr-FR"/>
        </w:rPr>
        <w:t>Bibliothiki, 2023</w:t>
      </w:r>
    </w:p>
    <w:p w14:paraId="5FC94E96" w14:textId="77777777" w:rsidR="00D52372" w:rsidRPr="00B93437" w:rsidRDefault="00D52372" w:rsidP="00B93437">
      <w:pPr>
        <w:pStyle w:val="ECVSectionBullet"/>
        <w:spacing w:line="276" w:lineRule="auto"/>
        <w:ind w:left="113"/>
        <w:rPr>
          <w:sz w:val="22"/>
          <w:szCs w:val="22"/>
          <w:lang w:val="fr-FR"/>
        </w:rPr>
      </w:pPr>
    </w:p>
    <w:p w14:paraId="48D8AD07" w14:textId="77777777" w:rsidR="00D52372" w:rsidRPr="00B93437" w:rsidRDefault="00D52372" w:rsidP="00B93437">
      <w:pPr>
        <w:pStyle w:val="ECVSectionBullet"/>
        <w:numPr>
          <w:ilvl w:val="0"/>
          <w:numId w:val="5"/>
        </w:numPr>
        <w:spacing w:line="276" w:lineRule="auto"/>
        <w:rPr>
          <w:b/>
          <w:sz w:val="22"/>
          <w:szCs w:val="22"/>
          <w:lang w:val="fr-FR"/>
        </w:rPr>
      </w:pPr>
      <w:r w:rsidRPr="00B93437">
        <w:rPr>
          <w:b/>
          <w:sz w:val="22"/>
          <w:szCs w:val="22"/>
          <w:lang w:val="fr-FR"/>
        </w:rPr>
        <w:t>Articles publiés dans des revues à comité de lecture</w:t>
      </w:r>
    </w:p>
    <w:p w14:paraId="3B72CBE5" w14:textId="77777777" w:rsidR="00D52372" w:rsidRPr="00B93437" w:rsidRDefault="00D52372" w:rsidP="00B93437">
      <w:pPr>
        <w:pStyle w:val="ECVSectionBullet"/>
        <w:spacing w:line="276" w:lineRule="auto"/>
        <w:ind w:left="113"/>
        <w:rPr>
          <w:sz w:val="22"/>
          <w:szCs w:val="22"/>
          <w:lang w:val="fr-FR"/>
        </w:rPr>
      </w:pPr>
    </w:p>
    <w:p w14:paraId="3E04EEAD" w14:textId="77777777" w:rsidR="00D52372" w:rsidRPr="00B93437" w:rsidRDefault="00D52372" w:rsidP="00B93437">
      <w:pPr>
        <w:pStyle w:val="ECVSectionBullet"/>
        <w:numPr>
          <w:ilvl w:val="0"/>
          <w:numId w:val="9"/>
        </w:numPr>
        <w:spacing w:line="276" w:lineRule="auto"/>
        <w:rPr>
          <w:b/>
          <w:i/>
          <w:sz w:val="22"/>
          <w:szCs w:val="22"/>
          <w:lang w:val="fr-FR"/>
        </w:rPr>
      </w:pPr>
      <w:r w:rsidRPr="00B93437">
        <w:rPr>
          <w:b/>
          <w:i/>
          <w:sz w:val="22"/>
          <w:szCs w:val="22"/>
          <w:lang w:val="fr-FR"/>
        </w:rPr>
        <w:t>En langue étrangère</w:t>
      </w:r>
    </w:p>
    <w:p w14:paraId="5E453E8F" w14:textId="77777777" w:rsidR="00D52372" w:rsidRPr="00B93437" w:rsidRDefault="00D52372" w:rsidP="00B93437">
      <w:pPr>
        <w:pStyle w:val="ECVSectionBullet"/>
        <w:spacing w:line="276" w:lineRule="auto"/>
        <w:ind w:left="113"/>
        <w:rPr>
          <w:sz w:val="22"/>
          <w:szCs w:val="22"/>
          <w:lang w:val="fr-FR"/>
        </w:rPr>
      </w:pPr>
    </w:p>
    <w:p w14:paraId="217DDA61"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 xml:space="preserve">L’influence de l’obligation du recours administratif préalable sur l’action en justice. </w:t>
      </w:r>
      <w:r w:rsidRPr="00B93437">
        <w:rPr>
          <w:color w:val="000000" w:themeColor="text1"/>
          <w:sz w:val="22"/>
          <w:szCs w:val="22"/>
        </w:rPr>
        <w:t>Ν</w:t>
      </w:r>
      <w:r w:rsidRPr="00B93437">
        <w:rPr>
          <w:color w:val="000000" w:themeColor="text1"/>
          <w:sz w:val="22"/>
          <w:szCs w:val="22"/>
          <w:lang w:val="fr-FR"/>
        </w:rPr>
        <w:t>ote sous l’arrêt de la Cour de justice des Communautés européennes du 17 avril 1997, DEI c. Evrenopoulos, C-147/95, RFDA 1998, p. 1023-1034</w:t>
      </w:r>
    </w:p>
    <w:p w14:paraId="742F7A53" w14:textId="77777777" w:rsidR="00D52372" w:rsidRPr="00B93437" w:rsidRDefault="00D52372" w:rsidP="00B93437">
      <w:pPr>
        <w:pStyle w:val="ECVSectionBullet"/>
        <w:spacing w:line="276" w:lineRule="auto"/>
        <w:ind w:left="473"/>
        <w:jc w:val="both"/>
        <w:rPr>
          <w:color w:val="000000" w:themeColor="text1"/>
          <w:sz w:val="22"/>
          <w:szCs w:val="22"/>
          <w:lang w:val="fr-FR"/>
        </w:rPr>
      </w:pPr>
    </w:p>
    <w:p w14:paraId="5C74C01B"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de-DE"/>
        </w:rPr>
        <w:t xml:space="preserve">Der Grundsatz des Vertrauensschutzes im französischen Recht. </w:t>
      </w:r>
      <w:r w:rsidRPr="00B93437">
        <w:rPr>
          <w:color w:val="000000" w:themeColor="text1"/>
          <w:sz w:val="22"/>
          <w:szCs w:val="22"/>
          <w:lang w:val="fr-FR"/>
        </w:rPr>
        <w:t>Eine unzutreffende Übertragung?, Revue européenne de droit public/European Review of Public Law vol. 11, 1999, p. 1155-1161</w:t>
      </w:r>
    </w:p>
    <w:p w14:paraId="05FAB2B0" w14:textId="77777777" w:rsidR="00D52372" w:rsidRPr="00B93437" w:rsidRDefault="00D52372" w:rsidP="00B93437">
      <w:pPr>
        <w:pStyle w:val="Paragraphedeliste"/>
        <w:spacing w:line="276" w:lineRule="auto"/>
        <w:rPr>
          <w:color w:val="000000" w:themeColor="text1"/>
          <w:sz w:val="22"/>
          <w:szCs w:val="22"/>
          <w:lang w:val="fr-FR"/>
        </w:rPr>
      </w:pPr>
    </w:p>
    <w:p w14:paraId="7DA5CC78"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La nouvelle loi hellénique sur la protection des ressources aquatiques, Environnement, n°7, juillet 2005, p. 29-33</w:t>
      </w:r>
    </w:p>
    <w:p w14:paraId="5CA2232F" w14:textId="77777777" w:rsidR="00D52372" w:rsidRPr="00B93437" w:rsidRDefault="00D52372" w:rsidP="00B93437">
      <w:pPr>
        <w:pStyle w:val="Paragraphedeliste"/>
        <w:spacing w:line="276" w:lineRule="auto"/>
        <w:rPr>
          <w:color w:val="000000" w:themeColor="text1"/>
          <w:sz w:val="22"/>
          <w:szCs w:val="22"/>
          <w:lang w:val="fr-FR"/>
        </w:rPr>
      </w:pPr>
    </w:p>
    <w:p w14:paraId="532CAB33"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La rétroactivité des lois à l’aune du principe de protection de la confiance légitime. Note sous Conseil d’Etat hellénique, arrêt n° 1508/2002, Annuaire International des Droits de l’Homme, I/2006, Ant. N. Sakkoulas/Bruylant, p. 655-670</w:t>
      </w:r>
    </w:p>
    <w:p w14:paraId="73B0974B" w14:textId="77777777" w:rsidR="00D52372" w:rsidRPr="00B93437" w:rsidRDefault="00D52372" w:rsidP="00B93437">
      <w:pPr>
        <w:pStyle w:val="Paragraphedeliste"/>
        <w:spacing w:line="276" w:lineRule="auto"/>
        <w:rPr>
          <w:color w:val="000000" w:themeColor="text1"/>
          <w:sz w:val="22"/>
          <w:szCs w:val="22"/>
          <w:lang w:val="fr-FR"/>
        </w:rPr>
      </w:pPr>
    </w:p>
    <w:p w14:paraId="58A91B4B"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 xml:space="preserve">Les sanctions administratives dans la jurisprudence du Conseil d’Etat hellénique et de la Cour européenne des droits de l’homme, </w:t>
      </w:r>
      <w:r w:rsidRPr="00B93437">
        <w:rPr>
          <w:color w:val="000000" w:themeColor="text1"/>
          <w:sz w:val="22"/>
          <w:szCs w:val="22"/>
        </w:rPr>
        <w:t>Ν</w:t>
      </w:r>
      <w:r w:rsidRPr="00B93437">
        <w:rPr>
          <w:color w:val="000000" w:themeColor="text1"/>
          <w:sz w:val="22"/>
          <w:szCs w:val="22"/>
          <w:lang w:val="fr-FR"/>
        </w:rPr>
        <w:t>ote sous CEDH, arrêt Mamidakis c. Grèce, Annuaire international des droits de l’homme, Ant.N. Sakkoulas-Bruylant, vol.II/2007, p. 575-587</w:t>
      </w:r>
    </w:p>
    <w:p w14:paraId="6A89009C" w14:textId="77777777" w:rsidR="00D52372" w:rsidRPr="00B93437" w:rsidRDefault="00D52372" w:rsidP="00B93437">
      <w:pPr>
        <w:pStyle w:val="Paragraphedeliste"/>
        <w:spacing w:line="276" w:lineRule="auto"/>
        <w:rPr>
          <w:color w:val="000000" w:themeColor="text1"/>
          <w:sz w:val="22"/>
          <w:szCs w:val="22"/>
          <w:lang w:val="fr-FR"/>
        </w:rPr>
      </w:pPr>
    </w:p>
    <w:p w14:paraId="24E93DE2"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La justice administrative devant la Cour européenne des droits de l’homme, Note sous CEDH, arrêt Sacilor-Lormines c. France, Annuaire international des droits de l’homme,  Ant. N. Sakkoulas/Bruylant, vol.III/2008, p. 653-672</w:t>
      </w:r>
    </w:p>
    <w:p w14:paraId="22F7DF72" w14:textId="77777777" w:rsidR="00D52372" w:rsidRPr="00B93437" w:rsidRDefault="00D52372" w:rsidP="00B93437">
      <w:pPr>
        <w:pStyle w:val="Paragraphedeliste"/>
        <w:spacing w:line="276" w:lineRule="auto"/>
        <w:rPr>
          <w:color w:val="000000" w:themeColor="text1"/>
          <w:sz w:val="22"/>
          <w:szCs w:val="22"/>
          <w:lang w:val="fr-FR"/>
        </w:rPr>
      </w:pPr>
    </w:p>
    <w:p w14:paraId="1A43D1D0"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La réduction du pouvoir discrétionnaire de l’Administration en matière de retrait des actes administratifs illégaux, in Indépendance(s). Etudes offertes au Professeur Jean-Louis Autin, vol. 1, p. 139-166</w:t>
      </w:r>
    </w:p>
    <w:p w14:paraId="36D4D149" w14:textId="77777777" w:rsidR="00D52372" w:rsidRPr="00B93437" w:rsidRDefault="00D52372" w:rsidP="00B93437">
      <w:pPr>
        <w:pStyle w:val="Paragraphedeliste"/>
        <w:spacing w:line="276" w:lineRule="auto"/>
        <w:rPr>
          <w:color w:val="000000" w:themeColor="text1"/>
          <w:sz w:val="22"/>
          <w:szCs w:val="22"/>
          <w:lang w:val="fr-FR"/>
        </w:rPr>
      </w:pPr>
    </w:p>
    <w:p w14:paraId="1D6DA441"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Nouvel épisode du contrôle du droit communautaire par la Cour européenne des droits de l’Homme. La décision Cooperatieve Producentenorganisatie Van de Nederlandse Kokkelvisserij c. Pays Bas (2009), Annuaire International des Droits de l’Homme, Ant. N. Sakkoulas/Bruylant, IV/2009, p. 573-598</w:t>
      </w:r>
    </w:p>
    <w:p w14:paraId="12431713" w14:textId="77777777" w:rsidR="00D52372" w:rsidRPr="00B93437" w:rsidRDefault="00D52372" w:rsidP="00B93437">
      <w:pPr>
        <w:pStyle w:val="Paragraphedeliste"/>
        <w:spacing w:line="276" w:lineRule="auto"/>
        <w:rPr>
          <w:color w:val="000000" w:themeColor="text1"/>
          <w:sz w:val="22"/>
          <w:szCs w:val="22"/>
          <w:lang w:val="fr-FR"/>
        </w:rPr>
      </w:pPr>
    </w:p>
    <w:p w14:paraId="32D8F5FD"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L’exécution des décisions de justice devant la Cour européenne des droits de l’homme (à propos de l’arrêt CEDH, 1</w:t>
      </w:r>
      <w:r w:rsidRPr="00B93437">
        <w:rPr>
          <w:color w:val="000000" w:themeColor="text1"/>
          <w:sz w:val="22"/>
          <w:szCs w:val="22"/>
          <w:vertAlign w:val="superscript"/>
          <w:lang w:val="fr-FR"/>
        </w:rPr>
        <w:t>er</w:t>
      </w:r>
      <w:r w:rsidRPr="00B93437">
        <w:rPr>
          <w:color w:val="000000" w:themeColor="text1"/>
          <w:sz w:val="22"/>
          <w:szCs w:val="22"/>
          <w:lang w:val="fr-FR"/>
        </w:rPr>
        <w:t> juillet 2010, Vogiatzis et autres c. Grèce), Annuaire International des Droits de l’Homme, V/2010, p. 649-662</w:t>
      </w:r>
    </w:p>
    <w:p w14:paraId="4861CCB1" w14:textId="77777777" w:rsidR="00D52372" w:rsidRPr="00B93437" w:rsidRDefault="00D52372" w:rsidP="00B93437">
      <w:pPr>
        <w:pStyle w:val="Paragraphedeliste"/>
        <w:spacing w:line="276" w:lineRule="auto"/>
        <w:rPr>
          <w:color w:val="000000"/>
          <w:sz w:val="22"/>
          <w:szCs w:val="22"/>
          <w:lang w:val="fr-FR"/>
        </w:rPr>
      </w:pPr>
    </w:p>
    <w:p w14:paraId="6AF67DB6"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sz w:val="22"/>
          <w:szCs w:val="22"/>
          <w:lang w:val="fr-FR"/>
        </w:rPr>
        <w:t>Les recours administratifs en Grèce, in: J.-B. Auby &amp; Th. Perroud (dir.), </w:t>
      </w:r>
      <w:r w:rsidRPr="00B93437">
        <w:rPr>
          <w:iCs/>
          <w:color w:val="000000"/>
          <w:sz w:val="22"/>
          <w:szCs w:val="22"/>
          <w:lang w:val="fr-FR"/>
        </w:rPr>
        <w:t>Droit comparé de la procédure administrative/ Comparative Law of Administrative Procedure</w:t>
      </w:r>
      <w:r w:rsidRPr="00B93437">
        <w:rPr>
          <w:color w:val="000000"/>
          <w:sz w:val="22"/>
          <w:szCs w:val="22"/>
          <w:lang w:val="fr-FR"/>
        </w:rPr>
        <w:t>, Bruylant, Bruxelles, 2016, p. 785-793</w:t>
      </w:r>
    </w:p>
    <w:p w14:paraId="0D41A00A" w14:textId="77777777" w:rsidR="00D52372" w:rsidRPr="00B93437" w:rsidRDefault="00D52372" w:rsidP="00B93437">
      <w:pPr>
        <w:pStyle w:val="Paragraphedeliste"/>
        <w:spacing w:line="276" w:lineRule="auto"/>
        <w:rPr>
          <w:color w:val="000000" w:themeColor="text1"/>
          <w:sz w:val="22"/>
          <w:szCs w:val="22"/>
          <w:lang w:val="fr-FR"/>
        </w:rPr>
      </w:pPr>
    </w:p>
    <w:p w14:paraId="29A548EC"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Le dialogue entre le Conseil d’État hellénique et la Cour européenne des droits de l’homme concernant l’application du principe ne bis in idem, Annuaire International des Droits de l’Homme, Sakkoulas/Bruylant, IX/2017, p. 133-152</w:t>
      </w:r>
    </w:p>
    <w:p w14:paraId="44EB3C6F" w14:textId="77777777" w:rsidR="00D52372" w:rsidRPr="00B93437" w:rsidRDefault="00D52372" w:rsidP="00B93437">
      <w:pPr>
        <w:pStyle w:val="Paragraphedeliste"/>
        <w:spacing w:line="276" w:lineRule="auto"/>
        <w:rPr>
          <w:color w:val="000000" w:themeColor="text1"/>
          <w:sz w:val="22"/>
          <w:szCs w:val="22"/>
          <w:lang w:val="fr-FR"/>
        </w:rPr>
      </w:pPr>
    </w:p>
    <w:p w14:paraId="0F7A38BB"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de-DE"/>
        </w:rPr>
      </w:pPr>
      <w:r w:rsidRPr="00B93437">
        <w:rPr>
          <w:color w:val="000000" w:themeColor="text1"/>
          <w:sz w:val="22"/>
          <w:szCs w:val="22"/>
          <w:lang w:val="de-DE"/>
        </w:rPr>
        <w:t>Privatisierung der Betreiber öffentlicher Dienstleistungen: das Beispiel der Trinkwasserversorgung und des Rundfunks, in J.-H. Binder/G. Psaroudakis (Hrsg.), Europäisches Wirtschaftsrecht in der Krise, Mohr Siebeck, 2018, S. 87-98</w:t>
      </w:r>
    </w:p>
    <w:p w14:paraId="5EDF1F92" w14:textId="77777777" w:rsidR="00D52372" w:rsidRPr="00B93437" w:rsidRDefault="00D52372" w:rsidP="00B93437">
      <w:pPr>
        <w:pStyle w:val="Paragraphedeliste"/>
        <w:spacing w:line="276" w:lineRule="auto"/>
        <w:rPr>
          <w:color w:val="000000" w:themeColor="text1"/>
          <w:sz w:val="22"/>
          <w:szCs w:val="22"/>
          <w:lang w:val="de-DE"/>
        </w:rPr>
      </w:pPr>
    </w:p>
    <w:p w14:paraId="30CB0260" w14:textId="77777777" w:rsidR="00D52372" w:rsidRPr="00B93437" w:rsidRDefault="00D52372"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La responsabilité de la puissance publique en cas de violation des droits fondamentaux, in Responsabilité pour violation des droits fondamentaux (8</w:t>
      </w:r>
      <w:r w:rsidRPr="00B93437">
        <w:rPr>
          <w:color w:val="000000" w:themeColor="text1"/>
          <w:sz w:val="22"/>
          <w:szCs w:val="22"/>
          <w:vertAlign w:val="superscript"/>
          <w:lang w:val="fr-FR"/>
        </w:rPr>
        <w:t>e</w:t>
      </w:r>
      <w:r w:rsidRPr="00B93437">
        <w:rPr>
          <w:color w:val="000000" w:themeColor="text1"/>
          <w:sz w:val="22"/>
          <w:szCs w:val="22"/>
          <w:lang w:val="fr-FR"/>
        </w:rPr>
        <w:t xml:space="preserve"> journées juridiques franco-helléniques, Thessalonique), Société de législation comparée (éd.), vol. 37, 2019, p. 95-112</w:t>
      </w:r>
    </w:p>
    <w:p w14:paraId="7726EAA6" w14:textId="77777777" w:rsidR="00D52372" w:rsidRPr="00B93437" w:rsidRDefault="00D52372" w:rsidP="00B93437">
      <w:pPr>
        <w:pStyle w:val="Paragraphedeliste"/>
        <w:spacing w:line="276" w:lineRule="auto"/>
        <w:rPr>
          <w:color w:val="000000" w:themeColor="text1"/>
          <w:sz w:val="22"/>
          <w:szCs w:val="22"/>
          <w:lang w:val="fr-FR"/>
        </w:rPr>
      </w:pPr>
    </w:p>
    <w:p w14:paraId="2B04D0FA" w14:textId="50614307" w:rsidR="00D52372" w:rsidRPr="00B93437" w:rsidRDefault="00B93437" w:rsidP="00B93437">
      <w:pPr>
        <w:pStyle w:val="ECVSectionBullet"/>
        <w:numPr>
          <w:ilvl w:val="0"/>
          <w:numId w:val="17"/>
        </w:numPr>
        <w:spacing w:line="276" w:lineRule="auto"/>
        <w:jc w:val="both"/>
        <w:rPr>
          <w:color w:val="000000" w:themeColor="text1"/>
          <w:sz w:val="22"/>
          <w:szCs w:val="22"/>
          <w:lang w:val="fr-FR"/>
        </w:rPr>
      </w:pPr>
      <w:r w:rsidRPr="00B93437">
        <w:rPr>
          <w:color w:val="000000" w:themeColor="text1"/>
          <w:sz w:val="22"/>
          <w:szCs w:val="22"/>
          <w:lang w:val="fr-FR"/>
        </w:rPr>
        <w:t xml:space="preserve"> Le contrôle juridictionnel du </w:t>
      </w:r>
      <w:r w:rsidR="00DD6DD1" w:rsidRPr="00DD6DD1">
        <w:rPr>
          <w:i/>
          <w:iCs/>
          <w:color w:val="000000" w:themeColor="text1"/>
          <w:sz w:val="22"/>
          <w:szCs w:val="22"/>
          <w:lang w:val="fr-FR"/>
        </w:rPr>
        <w:t>soft law</w:t>
      </w:r>
      <w:r w:rsidRPr="00B93437">
        <w:rPr>
          <w:color w:val="000000" w:themeColor="text1"/>
          <w:sz w:val="22"/>
          <w:szCs w:val="22"/>
          <w:lang w:val="fr-FR"/>
        </w:rPr>
        <w:t xml:space="preserve"> : </w:t>
      </w:r>
      <w:r w:rsidR="00DD6DD1">
        <w:rPr>
          <w:color w:val="000000" w:themeColor="text1"/>
          <w:sz w:val="22"/>
          <w:szCs w:val="22"/>
          <w:lang w:val="fr-FR"/>
        </w:rPr>
        <w:t>evolutions</w:t>
      </w:r>
      <w:r w:rsidRPr="00B93437">
        <w:rPr>
          <w:color w:val="000000" w:themeColor="text1"/>
          <w:sz w:val="22"/>
          <w:szCs w:val="22"/>
          <w:lang w:val="fr-FR"/>
        </w:rPr>
        <w:t xml:space="preserve"> national</w:t>
      </w:r>
      <w:r w:rsidR="00DD6DD1">
        <w:rPr>
          <w:color w:val="000000" w:themeColor="text1"/>
          <w:sz w:val="22"/>
          <w:szCs w:val="22"/>
          <w:lang w:val="fr-FR"/>
        </w:rPr>
        <w:t>es,</w:t>
      </w:r>
      <w:r w:rsidRPr="00B93437">
        <w:rPr>
          <w:color w:val="000000" w:themeColor="text1"/>
          <w:sz w:val="22"/>
          <w:szCs w:val="22"/>
          <w:lang w:val="fr-FR"/>
        </w:rPr>
        <w:t xml:space="preserve"> perspectives européennes, in Mélanges en l’honneur de Vassilios Skouris – Le droit européen, source de droits, source du droit, mare &amp; martin, 2022, p.</w:t>
      </w:r>
      <w:r w:rsidR="00DD6DD1">
        <w:rPr>
          <w:color w:val="000000" w:themeColor="text1"/>
          <w:sz w:val="22"/>
          <w:szCs w:val="22"/>
          <w:lang w:val="fr-FR"/>
        </w:rPr>
        <w:t xml:space="preserve"> 521</w:t>
      </w:r>
    </w:p>
    <w:p w14:paraId="72D1C53C"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74887466" w14:textId="77777777" w:rsidR="00D52372" w:rsidRPr="00B93437" w:rsidRDefault="00D52372" w:rsidP="00B93437">
      <w:pPr>
        <w:pStyle w:val="ECVSectionBullet"/>
        <w:numPr>
          <w:ilvl w:val="0"/>
          <w:numId w:val="9"/>
        </w:numPr>
        <w:spacing w:line="276" w:lineRule="auto"/>
        <w:jc w:val="both"/>
        <w:rPr>
          <w:b/>
          <w:i/>
          <w:color w:val="000000" w:themeColor="text1"/>
          <w:sz w:val="22"/>
          <w:szCs w:val="22"/>
          <w:lang w:val="fr-FR"/>
        </w:rPr>
      </w:pPr>
      <w:r w:rsidRPr="00B93437">
        <w:rPr>
          <w:b/>
          <w:i/>
          <w:color w:val="000000" w:themeColor="text1"/>
          <w:sz w:val="22"/>
          <w:szCs w:val="22"/>
          <w:lang w:val="fr-FR"/>
        </w:rPr>
        <w:t>En grec</w:t>
      </w:r>
    </w:p>
    <w:p w14:paraId="31E65295"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6BFAFCC3"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Les recours administratifs obligatoires eu égard à la consécration constitutionnelle du recours pour excès de pouvoir, Diki 21 (1990), p. 641-660</w:t>
      </w:r>
    </w:p>
    <w:p w14:paraId="16BFAE7E"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5295CF98"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principe de proportionnalité dans la jurisprudence de la Cour de justice des Communautés européennes, Revue Hellénique de Droit européen 1997, p. 1-27 et 247-296</w:t>
      </w:r>
    </w:p>
    <w:p w14:paraId="5849E06B"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25335FC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L’articulation du recours quasi-juridictionnel et du procès administratif, Revue du Droit public et administratif 42 (1998), p. 12-32</w:t>
      </w:r>
    </w:p>
    <w:p w14:paraId="3EEE5F9C" w14:textId="77777777" w:rsidR="00D52372" w:rsidRPr="00B93437" w:rsidRDefault="00D52372" w:rsidP="00B93437">
      <w:pPr>
        <w:pStyle w:val="Paragraphedeliste"/>
        <w:spacing w:line="276" w:lineRule="auto"/>
        <w:rPr>
          <w:color w:val="000000" w:themeColor="text1"/>
          <w:sz w:val="22"/>
          <w:szCs w:val="22"/>
          <w:lang w:val="fr-FR"/>
        </w:rPr>
      </w:pPr>
    </w:p>
    <w:p w14:paraId="59D6C95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protection de confiance légitime en droit de la sécurité sociale (CJCE du 2.12.1997, C-336/94, Eftalia Dafeki), Revue du Droit public et administratif  42 (1998), p. 462-465</w:t>
      </w:r>
    </w:p>
    <w:p w14:paraId="1FF747D5" w14:textId="77777777" w:rsidR="00D52372" w:rsidRPr="00B93437" w:rsidRDefault="00D52372" w:rsidP="00B93437">
      <w:pPr>
        <w:pStyle w:val="Paragraphedeliste"/>
        <w:spacing w:line="276" w:lineRule="auto"/>
        <w:rPr>
          <w:color w:val="000000" w:themeColor="text1"/>
          <w:sz w:val="22"/>
          <w:szCs w:val="22"/>
          <w:lang w:val="fr-FR"/>
        </w:rPr>
      </w:pPr>
    </w:p>
    <w:p w14:paraId="6C8B6A74"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Libre circulation des personnes et expérience professionnelle acquise dans le service public d’un autre Etat membre (CJCE du 15.1.1998, C-15/96, Schöning-</w:t>
      </w:r>
      <w:r w:rsidRPr="00B93437">
        <w:rPr>
          <w:color w:val="000000" w:themeColor="text1"/>
          <w:sz w:val="22"/>
          <w:szCs w:val="22"/>
        </w:rPr>
        <w:t>Κουγεβετοπούλου</w:t>
      </w:r>
      <w:r w:rsidRPr="00B93437">
        <w:rPr>
          <w:color w:val="000000" w:themeColor="text1"/>
          <w:sz w:val="22"/>
          <w:szCs w:val="22"/>
          <w:lang w:val="fr-FR"/>
        </w:rPr>
        <w:t>), Revue du Droit public et administratif   42 (1998), p. 469-477</w:t>
      </w:r>
    </w:p>
    <w:p w14:paraId="3B7FC732" w14:textId="77777777" w:rsidR="00D52372" w:rsidRPr="00B93437" w:rsidRDefault="00D52372" w:rsidP="00B93437">
      <w:pPr>
        <w:pStyle w:val="Paragraphedeliste"/>
        <w:spacing w:line="276" w:lineRule="auto"/>
        <w:rPr>
          <w:color w:val="000000" w:themeColor="text1"/>
          <w:sz w:val="22"/>
          <w:szCs w:val="22"/>
          <w:lang w:val="fr-FR"/>
        </w:rPr>
      </w:pPr>
    </w:p>
    <w:p w14:paraId="3009A7F3"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principe de l’égalité de traitement entre hommes et femmes en cas de qualification égale entre des candidats de sexe différent ( CJCE du 11.11. 1997, C-409/95, Hellmut Marschall), Revue du Droit public et administratif   42 (1998), p. 485-491</w:t>
      </w:r>
    </w:p>
    <w:p w14:paraId="7D7CE67F" w14:textId="77777777" w:rsidR="00D52372" w:rsidRPr="00B93437" w:rsidRDefault="00D52372" w:rsidP="00B93437">
      <w:pPr>
        <w:pStyle w:val="Paragraphedeliste"/>
        <w:spacing w:line="276" w:lineRule="auto"/>
        <w:rPr>
          <w:color w:val="000000" w:themeColor="text1"/>
          <w:sz w:val="22"/>
          <w:szCs w:val="22"/>
          <w:lang w:val="fr-FR"/>
        </w:rPr>
      </w:pPr>
    </w:p>
    <w:p w14:paraId="3BA3927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notion d’ « organisme de droit public » dans le cadre des directives sur les marchés publics (CJCE du 15.1.1998, C-44/96, Mannesmann Anlagenbau Austria AG),  Revue du Droit public et administratif   42 (1998), p. 982-990</w:t>
      </w:r>
    </w:p>
    <w:p w14:paraId="0D35E015"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66E22FBD"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principe de protection de confiance légitime dans la jurisprudence de la Cour de justice des Communautés européennes, Diki 29 (1998), p. 670-703</w:t>
      </w:r>
    </w:p>
    <w:p w14:paraId="0E4E42A6" w14:textId="77777777" w:rsidR="00D52372" w:rsidRPr="00B93437" w:rsidRDefault="00D52372" w:rsidP="00B93437">
      <w:pPr>
        <w:pStyle w:val="Paragraphedeliste"/>
        <w:spacing w:line="276" w:lineRule="auto"/>
        <w:rPr>
          <w:color w:val="000000" w:themeColor="text1"/>
          <w:sz w:val="22"/>
          <w:szCs w:val="22"/>
          <w:lang w:val="fr-FR"/>
        </w:rPr>
      </w:pPr>
    </w:p>
    <w:p w14:paraId="6B5F9DBD"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L’intérêt à agir dans le cadre du recours en annulation selon l’article 173 al. 4 du Traité CEE dans le domaine de la protection de l’environnement, Environnement et Droit 2/1998, p. 205-214</w:t>
      </w:r>
    </w:p>
    <w:p w14:paraId="4E3347C8" w14:textId="77777777" w:rsidR="00D52372" w:rsidRPr="00B93437" w:rsidRDefault="00D52372" w:rsidP="00B93437">
      <w:pPr>
        <w:pStyle w:val="Paragraphedeliste"/>
        <w:spacing w:line="276" w:lineRule="auto"/>
        <w:rPr>
          <w:color w:val="000000" w:themeColor="text1"/>
          <w:sz w:val="22"/>
          <w:szCs w:val="22"/>
          <w:lang w:val="fr-FR"/>
        </w:rPr>
      </w:pPr>
    </w:p>
    <w:p w14:paraId="2055A1B2"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protection des femmes enceintes en droit communautaire. Réflexions à l’occasion de l’arrêt Mary Brown c. Rentokil (C-396/96) de la Cour de justice des Communautés européennes du 30.6.1998, Droits de l’Homme, 1/1999, p. 159-193</w:t>
      </w:r>
    </w:p>
    <w:p w14:paraId="1028DB92" w14:textId="77777777" w:rsidR="00D52372" w:rsidRPr="00B93437" w:rsidRDefault="00D52372" w:rsidP="00B93437">
      <w:pPr>
        <w:pStyle w:val="Paragraphedeliste"/>
        <w:spacing w:line="276" w:lineRule="auto"/>
        <w:rPr>
          <w:color w:val="000000" w:themeColor="text1"/>
          <w:sz w:val="22"/>
          <w:szCs w:val="22"/>
          <w:lang w:val="fr-FR"/>
        </w:rPr>
      </w:pPr>
    </w:p>
    <w:p w14:paraId="0A7C2278"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Problèmes de l’application de la directive 89/665/CEE: Les instances de recours compétentes en matière de passation des marché publics,  Revue du Droit public et administratif 43 (1999), p. 747-783</w:t>
      </w:r>
    </w:p>
    <w:p w14:paraId="5743126F" w14:textId="77777777" w:rsidR="00D52372" w:rsidRPr="00B93437" w:rsidRDefault="00D52372" w:rsidP="00B93437">
      <w:pPr>
        <w:pStyle w:val="Paragraphedeliste"/>
        <w:spacing w:line="276" w:lineRule="auto"/>
        <w:rPr>
          <w:color w:val="000000" w:themeColor="text1"/>
          <w:sz w:val="22"/>
          <w:szCs w:val="22"/>
          <w:lang w:val="fr-FR"/>
        </w:rPr>
      </w:pPr>
    </w:p>
    <w:p w14:paraId="4327190C"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structure et la fonction de l’article 308 CE, Revue Hellénique de Droit européen, 2000, p. 307-349</w:t>
      </w:r>
    </w:p>
    <w:p w14:paraId="4DF8AA57" w14:textId="77777777" w:rsidR="00D52372" w:rsidRPr="00B93437" w:rsidRDefault="00D52372" w:rsidP="00B93437">
      <w:pPr>
        <w:pStyle w:val="Paragraphedeliste"/>
        <w:spacing w:line="276" w:lineRule="auto"/>
        <w:rPr>
          <w:color w:val="000000" w:themeColor="text1"/>
          <w:sz w:val="22"/>
          <w:szCs w:val="22"/>
          <w:lang w:val="fr-FR"/>
        </w:rPr>
      </w:pPr>
    </w:p>
    <w:p w14:paraId="57ABA24C"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codification des principes généraux de la procédure administrative non contentieuse. Remarques comparatives selon le droit grec et le droit communautaire, Revue du Droit public et administratif 3/2001, p. 417-426</w:t>
      </w:r>
    </w:p>
    <w:p w14:paraId="6E7E1D84" w14:textId="77777777" w:rsidR="00D52372" w:rsidRPr="00B93437" w:rsidRDefault="00D52372" w:rsidP="00B93437">
      <w:pPr>
        <w:pStyle w:val="Paragraphedeliste"/>
        <w:spacing w:line="276" w:lineRule="auto"/>
        <w:rPr>
          <w:color w:val="000000" w:themeColor="text1"/>
          <w:sz w:val="22"/>
          <w:szCs w:val="22"/>
          <w:lang w:val="fr-FR"/>
        </w:rPr>
      </w:pPr>
    </w:p>
    <w:p w14:paraId="773F3DF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Droit communautaire et accès des femmes aux emplois militaires.  Réflexions à l’occasion de l’arrêt Tanja Kreil (C-285/98) de la Cour de justice des Communautés européennes du 11.1.2000,  Droits de l’Homme 19/2003, p. 889-934</w:t>
      </w:r>
    </w:p>
    <w:p w14:paraId="50395E63" w14:textId="77777777" w:rsidR="00D52372" w:rsidRPr="00B93437" w:rsidRDefault="00D52372" w:rsidP="00B93437">
      <w:pPr>
        <w:pStyle w:val="Paragraphedeliste"/>
        <w:spacing w:line="276" w:lineRule="auto"/>
        <w:rPr>
          <w:color w:val="000000" w:themeColor="text1"/>
          <w:sz w:val="22"/>
          <w:szCs w:val="22"/>
          <w:lang w:val="fr-FR"/>
        </w:rPr>
      </w:pPr>
    </w:p>
    <w:p w14:paraId="43E6C937"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droit communautaire ne s’applique pas au service militaire obligatoire,  Droits de l’Homme 20/2003, p. 1267-1270</w:t>
      </w:r>
    </w:p>
    <w:p w14:paraId="07C2273D" w14:textId="77777777" w:rsidR="00D52372" w:rsidRPr="00B93437" w:rsidRDefault="00D52372" w:rsidP="00B93437">
      <w:pPr>
        <w:pStyle w:val="Paragraphedeliste"/>
        <w:spacing w:line="276" w:lineRule="auto"/>
        <w:rPr>
          <w:color w:val="000000" w:themeColor="text1"/>
          <w:sz w:val="22"/>
          <w:szCs w:val="22"/>
          <w:lang w:val="fr-FR"/>
        </w:rPr>
      </w:pPr>
    </w:p>
    <w:p w14:paraId="3E6803FC"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 principe communautaire de protection de la confiance légitime en tant que modèle d’interation des ordres juridiques, Droits de l’Homme, </w:t>
      </w:r>
      <w:r w:rsidRPr="00B93437">
        <w:rPr>
          <w:color w:val="000000" w:themeColor="text1"/>
          <w:sz w:val="22"/>
          <w:szCs w:val="22"/>
        </w:rPr>
        <w:t>Ι</w:t>
      </w:r>
      <w:r w:rsidRPr="00B93437">
        <w:rPr>
          <w:color w:val="000000" w:themeColor="text1"/>
          <w:sz w:val="22"/>
          <w:szCs w:val="22"/>
          <w:lang w:val="fr-FR"/>
        </w:rPr>
        <w:t>/2003, p. 171-237</w:t>
      </w:r>
    </w:p>
    <w:p w14:paraId="376DB68F" w14:textId="77777777" w:rsidR="00D52372" w:rsidRPr="00B93437" w:rsidRDefault="00D52372" w:rsidP="00B93437">
      <w:pPr>
        <w:pStyle w:val="Paragraphedeliste"/>
        <w:spacing w:line="276" w:lineRule="auto"/>
        <w:rPr>
          <w:color w:val="000000" w:themeColor="text1"/>
          <w:sz w:val="22"/>
          <w:szCs w:val="22"/>
          <w:lang w:val="fr-FR"/>
        </w:rPr>
      </w:pPr>
    </w:p>
    <w:p w14:paraId="070167E4"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Chronique de la jurisprudence du Conseil constitutionnel de l’année 2005, La Constitution 2/2006, p. 633-670</w:t>
      </w:r>
    </w:p>
    <w:p w14:paraId="5BFB446F" w14:textId="77777777" w:rsidR="00D52372" w:rsidRPr="00B93437" w:rsidRDefault="00D52372" w:rsidP="00B93437">
      <w:pPr>
        <w:pStyle w:val="Paragraphedeliste"/>
        <w:spacing w:line="276" w:lineRule="auto"/>
        <w:rPr>
          <w:color w:val="000000" w:themeColor="text1"/>
          <w:sz w:val="22"/>
          <w:szCs w:val="22"/>
          <w:lang w:val="fr-FR"/>
        </w:rPr>
      </w:pPr>
    </w:p>
    <w:p w14:paraId="517D2F6A"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L’obligation d’ « interprétation conforme » du droit national et les décisions-cadre du Titre VI du TUE : Réflexions à l’occasion de l’arrêt  Maria Pupino (C-105/03) de la CJCE du 16.7.2005,  Revue du Droit public et administratif  1/2006, p. 219-225</w:t>
      </w:r>
    </w:p>
    <w:p w14:paraId="4A90CE39" w14:textId="77777777" w:rsidR="00D52372" w:rsidRPr="00B93437" w:rsidRDefault="00D52372" w:rsidP="00B93437">
      <w:pPr>
        <w:pStyle w:val="Paragraphedeliste"/>
        <w:spacing w:line="276" w:lineRule="auto"/>
        <w:rPr>
          <w:color w:val="000000" w:themeColor="text1"/>
          <w:sz w:val="22"/>
          <w:szCs w:val="22"/>
          <w:lang w:val="fr-FR"/>
        </w:rPr>
      </w:pPr>
    </w:p>
    <w:p w14:paraId="30443CF2"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rapport entre le procédure administrative non contentieuse et le contrôle juridictionnel dans l’ordre juridique communautaire, Journal de Droit administratif, 2/2006, p/ 249-259</w:t>
      </w:r>
    </w:p>
    <w:p w14:paraId="44E2DA65" w14:textId="77777777" w:rsidR="00D52372" w:rsidRPr="00B93437" w:rsidRDefault="00D52372" w:rsidP="00B93437">
      <w:pPr>
        <w:pStyle w:val="Paragraphedeliste"/>
        <w:spacing w:line="276" w:lineRule="auto"/>
        <w:rPr>
          <w:color w:val="000000" w:themeColor="text1"/>
          <w:sz w:val="22"/>
          <w:szCs w:val="22"/>
          <w:lang w:val="fr-FR"/>
        </w:rPr>
      </w:pPr>
    </w:p>
    <w:p w14:paraId="4DE11D4C"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Discrimination au détriment des transsexuels en matière de sécurité sociale (CJCE du 27.4.2006, C-423/04, Sarah Margaret Richards), Revue du Droit public et administratif 4/2006, p. 914-918</w:t>
      </w:r>
    </w:p>
    <w:p w14:paraId="502DC6D3" w14:textId="77777777" w:rsidR="00D52372" w:rsidRPr="00B93437" w:rsidRDefault="00D52372" w:rsidP="00B93437">
      <w:pPr>
        <w:pStyle w:val="Paragraphedeliste"/>
        <w:spacing w:line="276" w:lineRule="auto"/>
        <w:rPr>
          <w:color w:val="000000" w:themeColor="text1"/>
          <w:sz w:val="22"/>
          <w:szCs w:val="22"/>
          <w:lang w:val="fr-FR"/>
        </w:rPr>
      </w:pPr>
    </w:p>
    <w:p w14:paraId="07315ACE"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Récupération des aides communautaires et limites à l’autonomie procédurale nationale.  Réflexions à l’occasion de l’arrêt Commission c. République Française (C-232/05) de la CJCE du 5.10.2006, Revue du Droit public et administratif 1/2007, p. 269-273</w:t>
      </w:r>
    </w:p>
    <w:p w14:paraId="0B7555A0" w14:textId="77777777" w:rsidR="00D52372" w:rsidRPr="00B93437" w:rsidRDefault="00D52372" w:rsidP="00B93437">
      <w:pPr>
        <w:pStyle w:val="Paragraphedeliste"/>
        <w:spacing w:line="276" w:lineRule="auto"/>
        <w:rPr>
          <w:color w:val="000000" w:themeColor="text1"/>
          <w:sz w:val="22"/>
          <w:szCs w:val="22"/>
          <w:lang w:val="fr-FR"/>
        </w:rPr>
      </w:pPr>
    </w:p>
    <w:p w14:paraId="2F6284DD"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protection juridictionnelle contre les décisions du Conseil disciplinaire suprême des Avocats, Droits de l’Homme 36/2007, p. 1225-1255</w:t>
      </w:r>
    </w:p>
    <w:p w14:paraId="718FCC6D" w14:textId="77777777" w:rsidR="00D52372" w:rsidRPr="00B93437" w:rsidRDefault="00D52372" w:rsidP="00B93437">
      <w:pPr>
        <w:pStyle w:val="Paragraphedeliste"/>
        <w:spacing w:line="276" w:lineRule="auto"/>
        <w:rPr>
          <w:color w:val="000000" w:themeColor="text1"/>
          <w:sz w:val="22"/>
          <w:szCs w:val="22"/>
          <w:lang w:val="fr-FR"/>
        </w:rPr>
      </w:pPr>
    </w:p>
    <w:p w14:paraId="34A2700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Evolutions jurisprudentielles récentes en matière de régime des recours administratifs obligatoires du droit français, Revue du Droit de la Sécurité sociale 3/2007, p. 177-193</w:t>
      </w:r>
    </w:p>
    <w:p w14:paraId="56AF9A52" w14:textId="77777777" w:rsidR="00D52372" w:rsidRPr="00B93437" w:rsidRDefault="00D52372" w:rsidP="00B93437">
      <w:pPr>
        <w:pStyle w:val="Paragraphedeliste"/>
        <w:spacing w:line="276" w:lineRule="auto"/>
        <w:rPr>
          <w:color w:val="000000" w:themeColor="text1"/>
          <w:sz w:val="22"/>
          <w:szCs w:val="22"/>
          <w:lang w:val="fr-FR"/>
        </w:rPr>
      </w:pPr>
    </w:p>
    <w:p w14:paraId="29C03254"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L’application du principe de sécurité juridique dans la jurisprudence récente du Conseil d’Etat français, Journal de Droit administratif 1/2007, p. 49-64</w:t>
      </w:r>
    </w:p>
    <w:p w14:paraId="4D5781A1" w14:textId="77777777" w:rsidR="00D52372" w:rsidRPr="00B93437" w:rsidRDefault="00D52372" w:rsidP="00B93437">
      <w:pPr>
        <w:pStyle w:val="Paragraphedeliste"/>
        <w:spacing w:line="276" w:lineRule="auto"/>
        <w:rPr>
          <w:color w:val="000000" w:themeColor="text1"/>
          <w:sz w:val="22"/>
          <w:szCs w:val="22"/>
          <w:lang w:val="fr-FR"/>
        </w:rPr>
      </w:pPr>
    </w:p>
    <w:p w14:paraId="3114D16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Coopération judiciaire en matière pénale (CJCE du 3.3.2007, C-303/05, Advocaten voor der Wereld VZW), Revue du Droit public et administratif 4/2007, p. 1058-1064</w:t>
      </w:r>
    </w:p>
    <w:p w14:paraId="06B26D68" w14:textId="77777777" w:rsidR="00D52372" w:rsidRPr="00B93437" w:rsidRDefault="00D52372" w:rsidP="00B93437">
      <w:pPr>
        <w:pStyle w:val="Paragraphedeliste"/>
        <w:spacing w:line="276" w:lineRule="auto"/>
        <w:rPr>
          <w:color w:val="000000" w:themeColor="text1"/>
          <w:sz w:val="22"/>
          <w:szCs w:val="22"/>
          <w:lang w:val="fr-FR"/>
        </w:rPr>
      </w:pPr>
    </w:p>
    <w:p w14:paraId="061BF478"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Relevé d’office par le juge national du droit communautaire ( CJCE du  7.6.2007, C-222/05 à C-225/05, van der Weerd),  Revue du Droit public et administratif 1/2008, p. 275-279.</w:t>
      </w:r>
    </w:p>
    <w:p w14:paraId="797E5038" w14:textId="77777777" w:rsidR="00D52372" w:rsidRPr="00B93437" w:rsidRDefault="00D52372" w:rsidP="00B93437">
      <w:pPr>
        <w:pStyle w:val="Paragraphedeliste"/>
        <w:spacing w:line="276" w:lineRule="auto"/>
        <w:rPr>
          <w:color w:val="000000" w:themeColor="text1"/>
          <w:sz w:val="22"/>
          <w:szCs w:val="22"/>
          <w:lang w:val="fr-FR"/>
        </w:rPr>
      </w:pPr>
    </w:p>
    <w:p w14:paraId="7DD8701F"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Action collective et libre circulation des personnes: la conciliation difficile de la protection des droits des travaileurs et des libertés communautaires fondamentales. Reflexions à l’occasions des arrêts Viking (C-438/05, du 11.12/2007) et Laval (C-341/05, du 18/12/2007) de la c, Applications </w:t>
      </w:r>
      <w:r w:rsidRPr="00B93437">
        <w:rPr>
          <w:color w:val="000000" w:themeColor="text1"/>
          <w:sz w:val="22"/>
          <w:szCs w:val="22"/>
        </w:rPr>
        <w:t>ΙΙ</w:t>
      </w:r>
      <w:r w:rsidRPr="00B93437">
        <w:rPr>
          <w:color w:val="000000" w:themeColor="text1"/>
          <w:sz w:val="22"/>
          <w:szCs w:val="22"/>
          <w:lang w:val="fr-FR"/>
        </w:rPr>
        <w:t>/2008, p. 762-786</w:t>
      </w:r>
    </w:p>
    <w:p w14:paraId="73525829" w14:textId="77777777" w:rsidR="00D52372" w:rsidRPr="00B93437" w:rsidRDefault="00D52372" w:rsidP="00B93437">
      <w:pPr>
        <w:pStyle w:val="Paragraphedeliste"/>
        <w:spacing w:line="276" w:lineRule="auto"/>
        <w:rPr>
          <w:color w:val="000000" w:themeColor="text1"/>
          <w:sz w:val="22"/>
          <w:szCs w:val="22"/>
          <w:lang w:val="fr-FR"/>
        </w:rPr>
      </w:pPr>
    </w:p>
    <w:p w14:paraId="390D0352"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Les lois de validation sous l’influence de la jurisprudence de la Cour de justice des Communautée européennes, Journal de Droit administratif  2/2008, </w:t>
      </w:r>
      <w:r w:rsidRPr="00B93437">
        <w:rPr>
          <w:color w:val="000000" w:themeColor="text1"/>
          <w:sz w:val="22"/>
          <w:szCs w:val="22"/>
        </w:rPr>
        <w:t>σελ</w:t>
      </w:r>
      <w:r w:rsidRPr="00B93437">
        <w:rPr>
          <w:color w:val="000000" w:themeColor="text1"/>
          <w:sz w:val="22"/>
          <w:szCs w:val="22"/>
          <w:lang w:val="fr-FR"/>
        </w:rPr>
        <w:t>. 233-245</w:t>
      </w:r>
    </w:p>
    <w:p w14:paraId="43454651" w14:textId="77777777" w:rsidR="00D52372" w:rsidRPr="00B93437" w:rsidRDefault="00D52372" w:rsidP="00B93437">
      <w:pPr>
        <w:pStyle w:val="Paragraphedeliste"/>
        <w:spacing w:line="276" w:lineRule="auto"/>
        <w:rPr>
          <w:color w:val="000000" w:themeColor="text1"/>
          <w:sz w:val="22"/>
          <w:szCs w:val="22"/>
          <w:lang w:val="fr-FR"/>
        </w:rPr>
      </w:pPr>
    </w:p>
    <w:p w14:paraId="53A76FFC"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Obligation de réexamen et de retrait d’une décision administrative définitive contraire au droit communautaire (CJCE  du 12.2.2008, C-6/02, Willy Kempter KG), Revue du Droit public et administratif 2/2008, p. 554-559</w:t>
      </w:r>
    </w:p>
    <w:p w14:paraId="597FF93A" w14:textId="77777777" w:rsidR="00D52372" w:rsidRPr="00B93437" w:rsidRDefault="00D52372" w:rsidP="00B93437">
      <w:pPr>
        <w:pStyle w:val="Paragraphedeliste"/>
        <w:spacing w:line="276" w:lineRule="auto"/>
        <w:rPr>
          <w:color w:val="000000" w:themeColor="text1"/>
          <w:sz w:val="22"/>
          <w:szCs w:val="22"/>
          <w:lang w:val="fr-FR"/>
        </w:rPr>
      </w:pPr>
    </w:p>
    <w:p w14:paraId="1D89086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portée de l’obligation de récupération des aides illégales (CJCE du 12.2.2008, C-199/06, Centre d’exportation du livre français (CELF), Revue du Droit public et administratif 3/2008, p. 833-839.</w:t>
      </w:r>
    </w:p>
    <w:p w14:paraId="2D1330B4" w14:textId="77777777" w:rsidR="00D52372" w:rsidRPr="00B93437" w:rsidRDefault="00D52372" w:rsidP="00B93437">
      <w:pPr>
        <w:pStyle w:val="Paragraphedeliste"/>
        <w:spacing w:line="276" w:lineRule="auto"/>
        <w:rPr>
          <w:color w:val="000000" w:themeColor="text1"/>
          <w:sz w:val="22"/>
          <w:szCs w:val="22"/>
          <w:lang w:val="fr-FR"/>
        </w:rPr>
      </w:pPr>
    </w:p>
    <w:p w14:paraId="54403D7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Evolutions de la notion d’acte aministratif transnational : limites à la reconnaissance mutuelle des permis de conduire ( CJCE du 26.6.2008, C-329/06 et C-343/06 Wiedemann et Funk), Revue du Droit public et administratif 4/2008, p. 1080-1088</w:t>
      </w:r>
    </w:p>
    <w:p w14:paraId="3F82AA10" w14:textId="77777777" w:rsidR="00D52372" w:rsidRPr="00B93437" w:rsidRDefault="00D52372" w:rsidP="00B93437">
      <w:pPr>
        <w:pStyle w:val="Paragraphedeliste"/>
        <w:spacing w:line="276" w:lineRule="auto"/>
        <w:rPr>
          <w:color w:val="000000" w:themeColor="text1"/>
          <w:sz w:val="22"/>
          <w:szCs w:val="22"/>
          <w:lang w:val="fr-FR"/>
        </w:rPr>
      </w:pPr>
    </w:p>
    <w:p w14:paraId="12C30B9F"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Les réformes récentes du système de la justice administrative française. Comparaison avec les réformes du Code de justice administrative hellénique, Droits de l’homme, 42/2009, p. 443-461</w:t>
      </w:r>
    </w:p>
    <w:p w14:paraId="5FA18423" w14:textId="77777777" w:rsidR="00D52372" w:rsidRPr="00B93437" w:rsidRDefault="00D52372" w:rsidP="00B93437">
      <w:pPr>
        <w:pStyle w:val="Paragraphedeliste"/>
        <w:spacing w:line="276" w:lineRule="auto"/>
        <w:rPr>
          <w:color w:val="000000" w:themeColor="text1"/>
          <w:sz w:val="22"/>
          <w:szCs w:val="22"/>
          <w:lang w:val="fr-FR"/>
        </w:rPr>
      </w:pPr>
    </w:p>
    <w:p w14:paraId="52572774"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Modulation dans le temps des effets d’annulation d’un acte administratif individuel.  Réflexions à l’occasion des arrêts du Conseil d’Etat français du 12.12.2007, Sire et Vignard, Journal de Droit administratif 1/2009, p. 75-86</w:t>
      </w:r>
    </w:p>
    <w:p w14:paraId="749166D4" w14:textId="77777777" w:rsidR="00D52372" w:rsidRPr="00B93437" w:rsidRDefault="00D52372" w:rsidP="00B93437">
      <w:pPr>
        <w:pStyle w:val="Paragraphedeliste"/>
        <w:spacing w:line="276" w:lineRule="auto"/>
        <w:rPr>
          <w:color w:val="000000" w:themeColor="text1"/>
          <w:sz w:val="22"/>
          <w:szCs w:val="22"/>
          <w:lang w:val="fr-FR"/>
        </w:rPr>
      </w:pPr>
    </w:p>
    <w:p w14:paraId="0922BD1E"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L’importance du dialogue des juges pour la protection des droits fondamentaux.  Réflexions à l’occasion de l’ arrêt du Conseil d’Etat français du 10.4.2008, Conseil national des barreaux, Théorie et Praxis du Droit administratif 5/2009, p. 550-566</w:t>
      </w:r>
    </w:p>
    <w:p w14:paraId="14BDE32B" w14:textId="77777777" w:rsidR="00D52372" w:rsidRPr="00B93437" w:rsidRDefault="00D52372" w:rsidP="00B93437">
      <w:pPr>
        <w:pStyle w:val="Paragraphedeliste"/>
        <w:spacing w:line="276" w:lineRule="auto"/>
        <w:rPr>
          <w:color w:val="000000" w:themeColor="text1"/>
          <w:sz w:val="22"/>
          <w:szCs w:val="22"/>
          <w:lang w:val="fr-FR"/>
        </w:rPr>
      </w:pPr>
    </w:p>
    <w:p w14:paraId="53C0B61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Responsabilité extracontractuelle de la Communauté en l’absence de comportement illégal.  Réflexions à l’occasion de l’arrêt de la CJCE du 9.9.2008, C-120/06 P et C-121/06 P, FIAMM,  Revue du Droit public et administratif 2/2009, p. 544-554</w:t>
      </w:r>
    </w:p>
    <w:p w14:paraId="2316AFE1" w14:textId="77777777" w:rsidR="00D52372" w:rsidRPr="00B93437" w:rsidRDefault="00D52372" w:rsidP="00B93437">
      <w:pPr>
        <w:pStyle w:val="Paragraphedeliste"/>
        <w:spacing w:line="276" w:lineRule="auto"/>
        <w:rPr>
          <w:color w:val="000000" w:themeColor="text1"/>
          <w:sz w:val="22"/>
          <w:szCs w:val="22"/>
          <w:lang w:val="fr-FR"/>
        </w:rPr>
      </w:pPr>
    </w:p>
    <w:p w14:paraId="3866199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 contrôle juridictionnel des actes des organismes communautaires.  Réflexions à l’occasion de l’ arrêt du TPI du 8.10.2008, </w:t>
      </w:r>
      <w:r w:rsidRPr="00B93437">
        <w:rPr>
          <w:color w:val="000000" w:themeColor="text1"/>
          <w:sz w:val="22"/>
          <w:szCs w:val="22"/>
        </w:rPr>
        <w:t>Τ</w:t>
      </w:r>
      <w:r w:rsidRPr="00B93437">
        <w:rPr>
          <w:color w:val="000000" w:themeColor="text1"/>
          <w:sz w:val="22"/>
          <w:szCs w:val="22"/>
          <w:lang w:val="fr-FR"/>
        </w:rPr>
        <w:t>-411/06, Sogelma-Società generale lanori manutenzioni appalti Srl),  Revue du Droit public et administratif 3/2009, p. 823-833</w:t>
      </w:r>
    </w:p>
    <w:p w14:paraId="3FEF8673" w14:textId="77777777" w:rsidR="00D52372" w:rsidRPr="00B93437" w:rsidRDefault="00D52372" w:rsidP="00B93437">
      <w:pPr>
        <w:pStyle w:val="Paragraphedeliste"/>
        <w:spacing w:line="276" w:lineRule="auto"/>
        <w:rPr>
          <w:color w:val="000000" w:themeColor="text1"/>
          <w:sz w:val="22"/>
          <w:szCs w:val="22"/>
          <w:lang w:val="fr-FR"/>
        </w:rPr>
      </w:pPr>
    </w:p>
    <w:p w14:paraId="6305BB2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statut juridique des circulaires interprétatives, Journal de Droit administratif 2/2010, p. 255-269</w:t>
      </w:r>
    </w:p>
    <w:p w14:paraId="6DE984AE" w14:textId="77777777" w:rsidR="00D52372" w:rsidRPr="00B93437" w:rsidRDefault="00D52372" w:rsidP="00B93437">
      <w:pPr>
        <w:pStyle w:val="Paragraphedeliste"/>
        <w:spacing w:line="276" w:lineRule="auto"/>
        <w:rPr>
          <w:color w:val="000000" w:themeColor="text1"/>
          <w:sz w:val="22"/>
          <w:szCs w:val="22"/>
          <w:lang w:val="fr-FR"/>
        </w:rPr>
      </w:pPr>
    </w:p>
    <w:p w14:paraId="32940C4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rapport entre la Constitution nationale et le droit communautaire à la lumière du dialogue des juges. Réponsei pratique à une question dogmatique (Réflexions à l’occasion du livre de Lina Papadopoulou, Constitution nationale et Droit communautaire : la question de la «primauté», Ant. N. Sakkoulas, Athènes, 2009), Revue de Droit de la Securité sociale, 2010, p. 257-274</w:t>
      </w:r>
    </w:p>
    <w:p w14:paraId="74A816C5" w14:textId="77777777" w:rsidR="00D52372" w:rsidRPr="00B93437" w:rsidRDefault="00D52372" w:rsidP="00B93437">
      <w:pPr>
        <w:pStyle w:val="Paragraphedeliste"/>
        <w:spacing w:line="276" w:lineRule="auto"/>
        <w:rPr>
          <w:color w:val="000000" w:themeColor="text1"/>
          <w:sz w:val="22"/>
          <w:szCs w:val="22"/>
          <w:lang w:val="fr-FR"/>
        </w:rPr>
      </w:pPr>
    </w:p>
    <w:p w14:paraId="6F7E83FE"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Charte des Droits fondamentaux de l’Union eureopéenne et la Convention européenne des Droits de l’Homme: rapport de concurrence ou de complémentarité?;,  Journal de Droit administratif 2/2011, p. 279-302</w:t>
      </w:r>
    </w:p>
    <w:p w14:paraId="639A8DD9" w14:textId="77777777" w:rsidR="00D52372" w:rsidRPr="00B93437" w:rsidRDefault="00D52372" w:rsidP="00B93437">
      <w:pPr>
        <w:pStyle w:val="Paragraphedeliste"/>
        <w:spacing w:line="276" w:lineRule="auto"/>
        <w:rPr>
          <w:color w:val="000000" w:themeColor="text1"/>
          <w:sz w:val="22"/>
          <w:szCs w:val="22"/>
          <w:lang w:val="fr-FR"/>
        </w:rPr>
      </w:pPr>
    </w:p>
    <w:p w14:paraId="3B40B14C"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L’évolution de la carrière des magistrats à la lumière de la jurisprudence de la Cour européenne des Droits de l’Homme sur le cumul des fonctions juridictionnelles et </w:t>
      </w:r>
      <w:r w:rsidRPr="00B93437">
        <w:rPr>
          <w:color w:val="000000" w:themeColor="text1"/>
          <w:sz w:val="22"/>
          <w:szCs w:val="22"/>
          <w:lang w:val="fr-FR"/>
        </w:rPr>
        <w:lastRenderedPageBreak/>
        <w:t>consultatives des cours suprêmes. Réflexions à l’occasion de l’arrêt du Conseil d’Etat français du 26.5.2010, M. Marc Antoine, Revue de la fonction publique 1/2011, p. 82-88</w:t>
      </w:r>
    </w:p>
    <w:p w14:paraId="3BDE86ED" w14:textId="77777777" w:rsidR="00D52372" w:rsidRPr="00B93437" w:rsidRDefault="00D52372" w:rsidP="00B93437">
      <w:pPr>
        <w:pStyle w:val="Paragraphedeliste"/>
        <w:spacing w:line="276" w:lineRule="auto"/>
        <w:rPr>
          <w:color w:val="000000" w:themeColor="text1"/>
          <w:sz w:val="22"/>
          <w:szCs w:val="22"/>
          <w:lang w:val="fr-FR"/>
        </w:rPr>
      </w:pPr>
    </w:p>
    <w:p w14:paraId="62EB1587"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L’application du droit de l’Union européenne par le Tribunal de la fonction publique (TPF), Revue de la fonction publique 3/2011, p. 459-475</w:t>
      </w:r>
    </w:p>
    <w:p w14:paraId="6FA5B74E" w14:textId="77777777" w:rsidR="00D52372" w:rsidRPr="00B93437" w:rsidRDefault="00D52372" w:rsidP="00B93437">
      <w:pPr>
        <w:pStyle w:val="Paragraphedeliste"/>
        <w:spacing w:line="276" w:lineRule="auto"/>
        <w:rPr>
          <w:color w:val="000000" w:themeColor="text1"/>
          <w:sz w:val="22"/>
          <w:szCs w:val="22"/>
          <w:lang w:val="fr-FR"/>
        </w:rPr>
      </w:pPr>
    </w:p>
    <w:p w14:paraId="43760E5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Accès aux documents et protection des données à caractère personnel ; à la lumière des évolutions jurisprudentielles et des initiatives législatives récentes au niveau de l’Union européenne, </w:t>
      </w:r>
      <w:r w:rsidRPr="00B93437">
        <w:rPr>
          <w:color w:val="000000" w:themeColor="text1"/>
          <w:sz w:val="22"/>
          <w:szCs w:val="22"/>
        </w:rPr>
        <w:t>ΤοΣ</w:t>
      </w:r>
      <w:r w:rsidRPr="00B93437">
        <w:rPr>
          <w:color w:val="000000" w:themeColor="text1"/>
          <w:sz w:val="22"/>
          <w:szCs w:val="22"/>
          <w:lang w:val="fr-FR"/>
        </w:rPr>
        <w:t xml:space="preserve"> 1/2011, </w:t>
      </w:r>
      <w:r w:rsidRPr="00B93437">
        <w:rPr>
          <w:color w:val="000000" w:themeColor="text1"/>
          <w:sz w:val="22"/>
          <w:szCs w:val="22"/>
        </w:rPr>
        <w:t>σελ</w:t>
      </w:r>
      <w:r w:rsidRPr="00B93437">
        <w:rPr>
          <w:color w:val="000000" w:themeColor="text1"/>
          <w:sz w:val="22"/>
          <w:szCs w:val="22"/>
          <w:lang w:val="fr-FR"/>
        </w:rPr>
        <w:t>. 61-88</w:t>
      </w:r>
    </w:p>
    <w:p w14:paraId="23101152" w14:textId="77777777" w:rsidR="00D52372" w:rsidRPr="00B93437" w:rsidRDefault="00D52372" w:rsidP="00B93437">
      <w:pPr>
        <w:pStyle w:val="Paragraphedeliste"/>
        <w:spacing w:line="276" w:lineRule="auto"/>
        <w:rPr>
          <w:color w:val="000000" w:themeColor="text1"/>
          <w:sz w:val="22"/>
          <w:szCs w:val="22"/>
          <w:lang w:val="fr-FR"/>
        </w:rPr>
      </w:pPr>
    </w:p>
    <w:p w14:paraId="3A752CBD"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L’étendue du contrôle du juge des mesures provisoires en matière de passation des marchés publics selon la loi 3886/2010, Théorie et Praxis du Droit administratif 11/2012, p. 960-966</w:t>
      </w:r>
    </w:p>
    <w:p w14:paraId="3C42201C" w14:textId="77777777" w:rsidR="00D52372" w:rsidRPr="00B93437" w:rsidRDefault="00D52372" w:rsidP="00B93437">
      <w:pPr>
        <w:pStyle w:val="Paragraphedeliste"/>
        <w:spacing w:line="276" w:lineRule="auto"/>
        <w:rPr>
          <w:color w:val="000000" w:themeColor="text1"/>
          <w:sz w:val="22"/>
          <w:szCs w:val="22"/>
          <w:lang w:val="fr-FR"/>
        </w:rPr>
      </w:pPr>
    </w:p>
    <w:p w14:paraId="4FD696A8"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notion d’ «exclusion de la participation à une procédure de passation de marché public» aux termes de l’article 68 pqr. 6 de la loi 3863/2010,  Théorie et Praxis du Droit administratif  5/2013, p. 385-392</w:t>
      </w:r>
    </w:p>
    <w:p w14:paraId="765E859E" w14:textId="77777777" w:rsidR="00D52372" w:rsidRPr="00B93437" w:rsidRDefault="00D52372" w:rsidP="00B93437">
      <w:pPr>
        <w:pStyle w:val="Paragraphedeliste"/>
        <w:spacing w:line="276" w:lineRule="auto"/>
        <w:rPr>
          <w:color w:val="000000" w:themeColor="text1"/>
          <w:sz w:val="22"/>
          <w:szCs w:val="22"/>
          <w:lang w:val="fr-FR"/>
        </w:rPr>
      </w:pPr>
    </w:p>
    <w:p w14:paraId="2338EF64" w14:textId="1E9CCB3A"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droit d’être</w:t>
      </w:r>
      <w:r w:rsidR="00DD6DD1">
        <w:rPr>
          <w:color w:val="000000" w:themeColor="text1"/>
          <w:sz w:val="22"/>
          <w:szCs w:val="22"/>
          <w:lang w:val="fr-FR"/>
        </w:rPr>
        <w:t xml:space="preserve"> </w:t>
      </w:r>
      <w:r w:rsidRPr="00B93437">
        <w:rPr>
          <w:color w:val="000000" w:themeColor="text1"/>
          <w:sz w:val="22"/>
          <w:szCs w:val="22"/>
          <w:lang w:val="fr-FR"/>
        </w:rPr>
        <w:t>entendu dans la jurisprudence des juridictions de l’Union européenne. Réflexions à l’occasion de l’arrêt de la CJUE du 10.9.2013, C-383/13 PPU, M. G. et N. R., Théorie et Praxis du Droit administratif   10/2013, p. 918-934</w:t>
      </w:r>
    </w:p>
    <w:p w14:paraId="5A44A5DE" w14:textId="77777777" w:rsidR="00D52372" w:rsidRPr="00B93437" w:rsidRDefault="00D52372" w:rsidP="00B93437">
      <w:pPr>
        <w:pStyle w:val="Paragraphedeliste"/>
        <w:spacing w:line="276" w:lineRule="auto"/>
        <w:rPr>
          <w:color w:val="000000" w:themeColor="text1"/>
          <w:sz w:val="22"/>
          <w:szCs w:val="22"/>
          <w:lang w:val="fr-FR"/>
        </w:rPr>
      </w:pPr>
    </w:p>
    <w:p w14:paraId="169C2DFC"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Interventions “correctives” du juge au moyen d’une interprétation contra legem des dispositions procédurales, Théorie et Praxis du Droit administratif    12/2013, p. 1142-1147 (avec </w:t>
      </w:r>
      <w:r w:rsidRPr="00B93437">
        <w:rPr>
          <w:i/>
          <w:color w:val="000000" w:themeColor="text1"/>
          <w:sz w:val="22"/>
          <w:szCs w:val="22"/>
          <w:lang w:val="fr-FR"/>
        </w:rPr>
        <w:t xml:space="preserve">S. </w:t>
      </w:r>
      <w:r w:rsidRPr="00B93437">
        <w:rPr>
          <w:i/>
          <w:color w:val="000000" w:themeColor="text1"/>
          <w:sz w:val="22"/>
          <w:szCs w:val="22"/>
        </w:rPr>
        <w:t>Κ</w:t>
      </w:r>
      <w:r w:rsidRPr="00B93437">
        <w:rPr>
          <w:i/>
          <w:color w:val="000000" w:themeColor="text1"/>
          <w:sz w:val="22"/>
          <w:szCs w:val="22"/>
          <w:lang w:val="fr-FR"/>
        </w:rPr>
        <w:t>yvelos</w:t>
      </w:r>
      <w:r w:rsidRPr="00B93437">
        <w:rPr>
          <w:color w:val="000000" w:themeColor="text1"/>
          <w:sz w:val="22"/>
          <w:szCs w:val="22"/>
          <w:lang w:val="fr-FR"/>
        </w:rPr>
        <w:t>)</w:t>
      </w:r>
    </w:p>
    <w:p w14:paraId="009CEB73" w14:textId="77777777" w:rsidR="00D52372" w:rsidRPr="00B93437" w:rsidRDefault="00D52372" w:rsidP="00B93437">
      <w:pPr>
        <w:pStyle w:val="Paragraphedeliste"/>
        <w:spacing w:line="276" w:lineRule="auto"/>
        <w:rPr>
          <w:color w:val="000000" w:themeColor="text1"/>
          <w:sz w:val="22"/>
          <w:szCs w:val="22"/>
          <w:lang w:val="fr-FR"/>
        </w:rPr>
      </w:pPr>
    </w:p>
    <w:p w14:paraId="1F015885"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Initiatives législatives et évolutions jurisprudentielles en matière de modulation dans le temps des effets des arrêts d’annulation, Théorie et Praxis du Droit administratif 6/2014, p. 570-582</w:t>
      </w:r>
    </w:p>
    <w:p w14:paraId="11ADB392" w14:textId="77777777" w:rsidR="00D52372" w:rsidRPr="00B93437" w:rsidRDefault="00D52372" w:rsidP="00B93437">
      <w:pPr>
        <w:pStyle w:val="Paragraphedeliste"/>
        <w:spacing w:line="276" w:lineRule="auto"/>
        <w:rPr>
          <w:color w:val="000000" w:themeColor="text1"/>
          <w:sz w:val="22"/>
          <w:szCs w:val="22"/>
          <w:lang w:val="fr-FR"/>
        </w:rPr>
      </w:pPr>
    </w:p>
    <w:p w14:paraId="4FCEB16E"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 « délai de forclusion » en tant que caractéristique nécessaire du recours administratif obligatoire.  Réflexions à l’occasion de l’arrêt du Conseil d’Etat hellénique n° 1373/2014, Procès administratif 3/2014, p. 649-657 (avec </w:t>
      </w:r>
      <w:r w:rsidRPr="00B93437">
        <w:rPr>
          <w:i/>
          <w:color w:val="000000" w:themeColor="text1"/>
          <w:sz w:val="22"/>
          <w:szCs w:val="22"/>
          <w:lang w:val="fr-FR"/>
        </w:rPr>
        <w:t xml:space="preserve">S. </w:t>
      </w:r>
      <w:r w:rsidRPr="00B93437">
        <w:rPr>
          <w:i/>
          <w:color w:val="000000" w:themeColor="text1"/>
          <w:sz w:val="22"/>
          <w:szCs w:val="22"/>
        </w:rPr>
        <w:t>Κ</w:t>
      </w:r>
      <w:r w:rsidRPr="00B93437">
        <w:rPr>
          <w:i/>
          <w:color w:val="000000" w:themeColor="text1"/>
          <w:sz w:val="22"/>
          <w:szCs w:val="22"/>
          <w:lang w:val="fr-FR"/>
        </w:rPr>
        <w:t>yvelos</w:t>
      </w:r>
      <w:r w:rsidRPr="00B93437">
        <w:rPr>
          <w:color w:val="000000" w:themeColor="text1"/>
          <w:sz w:val="22"/>
          <w:szCs w:val="22"/>
          <w:lang w:val="fr-FR"/>
        </w:rPr>
        <w:t>)</w:t>
      </w:r>
    </w:p>
    <w:p w14:paraId="4779B2CC" w14:textId="77777777" w:rsidR="00D52372" w:rsidRPr="00B93437" w:rsidRDefault="00D52372" w:rsidP="00B93437">
      <w:pPr>
        <w:pStyle w:val="Paragraphedeliste"/>
        <w:spacing w:line="276" w:lineRule="auto"/>
        <w:rPr>
          <w:color w:val="000000" w:themeColor="text1"/>
          <w:sz w:val="22"/>
          <w:szCs w:val="22"/>
          <w:lang w:val="fr-FR"/>
        </w:rPr>
      </w:pPr>
    </w:p>
    <w:p w14:paraId="22CD1893"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Dépassement de la durée raisonnable du procès et principe de protection juridictionnelle effective. Réflexions à l’occasion de l’arrêt de la CJUE Gascogne Sack Deutschland GmbH c. Commission européenne (C-40/12)  Théorie et Praxis du Droit administratif 3-4/2014, p. 372-379</w:t>
      </w:r>
    </w:p>
    <w:p w14:paraId="3134786D" w14:textId="77777777" w:rsidR="00D52372" w:rsidRPr="00B93437" w:rsidRDefault="00D52372" w:rsidP="00B93437">
      <w:pPr>
        <w:pStyle w:val="Paragraphedeliste"/>
        <w:spacing w:line="276" w:lineRule="auto"/>
        <w:rPr>
          <w:color w:val="000000" w:themeColor="text1"/>
          <w:sz w:val="22"/>
          <w:szCs w:val="22"/>
          <w:lang w:val="fr-FR"/>
        </w:rPr>
      </w:pPr>
    </w:p>
    <w:p w14:paraId="44FCA9D7"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responsabilité de l’Etat du fait des actes des organes du pouvoir juridictionnel.  Réflexions à l’occasion de l’arrêt de l’Assemblée plénière du Conseil d’Etat hellénique n° 1501/2014, Théorie et Praxis du Droit administratif 5/2014, p. 411-421</w:t>
      </w:r>
    </w:p>
    <w:p w14:paraId="2C0C7872" w14:textId="77777777" w:rsidR="00D52372" w:rsidRPr="00B93437" w:rsidRDefault="00D52372" w:rsidP="00B93437">
      <w:pPr>
        <w:pStyle w:val="Paragraphedeliste"/>
        <w:spacing w:line="276" w:lineRule="auto"/>
        <w:rPr>
          <w:color w:val="000000" w:themeColor="text1"/>
          <w:sz w:val="22"/>
          <w:szCs w:val="22"/>
          <w:lang w:val="fr-FR"/>
        </w:rPr>
      </w:pPr>
    </w:p>
    <w:p w14:paraId="757570FF"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portée du principe de l’autorité de la chose jugée dans l’hypothèse d’une situation incompatible avec la réglementation de l’Union relative aux marchés publics, Théorie et Praxis du Droit administratif 12/2014, p. 997-1006</w:t>
      </w:r>
    </w:p>
    <w:p w14:paraId="357CE0B2" w14:textId="77777777" w:rsidR="00D52372" w:rsidRPr="00B93437" w:rsidRDefault="00D52372" w:rsidP="00B93437">
      <w:pPr>
        <w:pStyle w:val="Paragraphedeliste"/>
        <w:spacing w:line="276" w:lineRule="auto"/>
        <w:rPr>
          <w:color w:val="000000" w:themeColor="text1"/>
          <w:sz w:val="22"/>
          <w:szCs w:val="22"/>
          <w:lang w:val="fr-FR"/>
        </w:rPr>
      </w:pPr>
    </w:p>
    <w:p w14:paraId="12C4E27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lastRenderedPageBreak/>
        <w:t>L’obligation de l’Administration de se conformer à des arrêts d’annulation en cas de réforme législative.  Réflexions à l’occasion de l’arrêt du Conseil d’Etat hellénique n° 2617/2015, Procès administratif 5/2015, p. 700-705</w:t>
      </w:r>
    </w:p>
    <w:p w14:paraId="26307B85" w14:textId="77777777" w:rsidR="00D52372" w:rsidRPr="00B93437" w:rsidRDefault="00D52372" w:rsidP="00B93437">
      <w:pPr>
        <w:spacing w:line="276" w:lineRule="auto"/>
        <w:rPr>
          <w:rFonts w:ascii="Times New Roman" w:hAnsi="Times New Roman" w:cs="Times New Roman"/>
          <w:color w:val="000000" w:themeColor="text1"/>
          <w:sz w:val="22"/>
          <w:szCs w:val="22"/>
          <w:lang w:val="fr-FR"/>
        </w:rPr>
      </w:pPr>
    </w:p>
    <w:p w14:paraId="2CFF6F1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Intervention de la Cour européenne des Droits de l’Homme dans le dialogue entre le juge national et la Cour de justice de l’Union européenne. A l’occasion de l’arrêt de la CEDH du 8.4.</w:t>
      </w:r>
      <w:r w:rsidRPr="00B93437">
        <w:rPr>
          <w:color w:val="000000" w:themeColor="text1"/>
          <w:sz w:val="22"/>
          <w:szCs w:val="22"/>
          <w:vertAlign w:val="superscript"/>
          <w:lang w:val="fr-FR"/>
        </w:rPr>
        <w:t>.</w:t>
      </w:r>
      <w:r w:rsidRPr="00B93437">
        <w:rPr>
          <w:color w:val="000000" w:themeColor="text1"/>
          <w:sz w:val="22"/>
          <w:szCs w:val="22"/>
          <w:lang w:val="fr-FR"/>
        </w:rPr>
        <w:t>2014, Dhabi c. Italie, n°17120/09),  Procès administratif 2/2015, p. 161-167</w:t>
      </w:r>
    </w:p>
    <w:p w14:paraId="5E54992B" w14:textId="77777777" w:rsidR="00D52372" w:rsidRPr="00B93437" w:rsidRDefault="00D52372" w:rsidP="00B93437">
      <w:pPr>
        <w:pStyle w:val="Paragraphedeliste"/>
        <w:spacing w:line="276" w:lineRule="auto"/>
        <w:rPr>
          <w:color w:val="000000" w:themeColor="text1"/>
          <w:sz w:val="22"/>
          <w:szCs w:val="22"/>
          <w:lang w:val="fr-FR"/>
        </w:rPr>
      </w:pPr>
    </w:p>
    <w:p w14:paraId="6E84F716" w14:textId="77777777" w:rsidR="00D52372" w:rsidRPr="00B93437" w:rsidRDefault="00D52372" w:rsidP="00B93437">
      <w:pPr>
        <w:pStyle w:val="ECVSectionBullet"/>
        <w:numPr>
          <w:ilvl w:val="0"/>
          <w:numId w:val="13"/>
        </w:numPr>
        <w:spacing w:line="276" w:lineRule="auto"/>
        <w:jc w:val="both"/>
        <w:rPr>
          <w:rStyle w:val="Lienhypertexte"/>
          <w:rFonts w:eastAsia="Microsoft YaHei"/>
          <w:color w:val="000000" w:themeColor="text1"/>
          <w:sz w:val="22"/>
          <w:szCs w:val="22"/>
          <w:lang w:val="fr-FR"/>
        </w:rPr>
      </w:pPr>
      <w:r w:rsidRPr="00B93437">
        <w:rPr>
          <w:color w:val="000000" w:themeColor="text1"/>
          <w:sz w:val="22"/>
          <w:szCs w:val="22"/>
          <w:lang w:val="fr-FR"/>
        </w:rPr>
        <w:t xml:space="preserve">L’application du principe </w:t>
      </w:r>
      <w:r w:rsidRPr="00B93437">
        <w:rPr>
          <w:i/>
          <w:color w:val="000000" w:themeColor="text1"/>
          <w:sz w:val="22"/>
          <w:szCs w:val="22"/>
          <w:lang w:val="fr-FR"/>
        </w:rPr>
        <w:t>ne</w:t>
      </w:r>
      <w:r w:rsidRPr="00B93437">
        <w:rPr>
          <w:i/>
          <w:color w:val="000000" w:themeColor="text1"/>
          <w:sz w:val="22"/>
          <w:szCs w:val="22"/>
        </w:rPr>
        <w:t> </w:t>
      </w:r>
      <w:r w:rsidRPr="00B93437">
        <w:rPr>
          <w:i/>
          <w:color w:val="000000" w:themeColor="text1"/>
          <w:sz w:val="22"/>
          <w:szCs w:val="22"/>
          <w:lang w:val="fr-FR"/>
        </w:rPr>
        <w:t>bis</w:t>
      </w:r>
      <w:r w:rsidRPr="00B93437">
        <w:rPr>
          <w:i/>
          <w:color w:val="000000" w:themeColor="text1"/>
          <w:sz w:val="22"/>
          <w:szCs w:val="22"/>
        </w:rPr>
        <w:t> </w:t>
      </w:r>
      <w:r w:rsidRPr="00B93437">
        <w:rPr>
          <w:i/>
          <w:color w:val="000000" w:themeColor="text1"/>
          <w:sz w:val="22"/>
          <w:szCs w:val="22"/>
          <w:lang w:val="fr-FR"/>
        </w:rPr>
        <w:t>in</w:t>
      </w:r>
      <w:r w:rsidRPr="00B93437">
        <w:rPr>
          <w:i/>
          <w:color w:val="000000" w:themeColor="text1"/>
          <w:sz w:val="22"/>
          <w:szCs w:val="22"/>
        </w:rPr>
        <w:t> </w:t>
      </w:r>
      <w:r w:rsidRPr="00B93437">
        <w:rPr>
          <w:i/>
          <w:color w:val="000000" w:themeColor="text1"/>
          <w:sz w:val="22"/>
          <w:szCs w:val="22"/>
          <w:lang w:val="fr-FR"/>
        </w:rPr>
        <w:t>idem</w:t>
      </w:r>
      <w:r w:rsidRPr="00B93437">
        <w:rPr>
          <w:color w:val="000000" w:themeColor="text1"/>
          <w:sz w:val="22"/>
          <w:szCs w:val="22"/>
        </w:rPr>
        <w:t> </w:t>
      </w:r>
      <w:r w:rsidRPr="00B93437">
        <w:rPr>
          <w:color w:val="000000" w:themeColor="text1"/>
          <w:sz w:val="22"/>
          <w:szCs w:val="22"/>
          <w:lang w:val="fr-FR"/>
        </w:rPr>
        <w:t>en cas de cumul des sanctions administratives. Réflexions à l’occasion de l’arrêt du Conseil d’Etat hellénique n°</w:t>
      </w:r>
      <w:r w:rsidRPr="00B93437">
        <w:rPr>
          <w:color w:val="000000" w:themeColor="text1"/>
          <w:sz w:val="22"/>
          <w:szCs w:val="22"/>
        </w:rPr>
        <w:t> </w:t>
      </w:r>
      <w:r w:rsidRPr="00B93437">
        <w:rPr>
          <w:color w:val="000000" w:themeColor="text1"/>
          <w:sz w:val="22"/>
          <w:szCs w:val="22"/>
          <w:lang w:val="fr-FR"/>
        </w:rPr>
        <w:t xml:space="preserve">1091/2015, Théorie et Praxis du Droit administratif 6/2015, p. 524-532 et </w:t>
      </w:r>
      <w:hyperlink r:id="rId10" w:history="1">
        <w:r w:rsidRPr="00B93437">
          <w:rPr>
            <w:rStyle w:val="Lienhypertexte"/>
            <w:rFonts w:eastAsia="Microsoft YaHei"/>
            <w:sz w:val="22"/>
            <w:szCs w:val="22"/>
            <w:lang w:val="fr-FR"/>
          </w:rPr>
          <w:t>www.constitutionalism.gr</w:t>
        </w:r>
      </w:hyperlink>
    </w:p>
    <w:p w14:paraId="7E07F97B" w14:textId="77777777" w:rsidR="00D52372" w:rsidRPr="00B93437" w:rsidRDefault="00D52372" w:rsidP="00B93437">
      <w:pPr>
        <w:pStyle w:val="Paragraphedeliste"/>
        <w:spacing w:line="276" w:lineRule="auto"/>
        <w:rPr>
          <w:color w:val="000000" w:themeColor="text1"/>
          <w:sz w:val="22"/>
          <w:szCs w:val="22"/>
          <w:lang w:val="fr-FR"/>
        </w:rPr>
      </w:pPr>
    </w:p>
    <w:p w14:paraId="12FAD28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Les contrats de concession selon la directive 2014/23/UE du Parlement européen et du Conseil, Procès administratif 4/2015, p. 481-494</w:t>
      </w:r>
    </w:p>
    <w:p w14:paraId="3B6A6B37" w14:textId="77777777" w:rsidR="00D52372" w:rsidRPr="00B93437" w:rsidRDefault="00D52372" w:rsidP="00B93437">
      <w:pPr>
        <w:pStyle w:val="Paragraphedeliste"/>
        <w:spacing w:line="276" w:lineRule="auto"/>
        <w:rPr>
          <w:color w:val="000000" w:themeColor="text1"/>
          <w:sz w:val="22"/>
          <w:szCs w:val="22"/>
          <w:lang w:val="fr-FR"/>
        </w:rPr>
      </w:pPr>
    </w:p>
    <w:p w14:paraId="7C9FFA5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densité du contrôle du juge de l’Union européenne dans les affaires de concurrence, Théorie et Praxis du Droit administratif  8-9/2015, p. 715-725</w:t>
      </w:r>
    </w:p>
    <w:p w14:paraId="2053C1E3" w14:textId="77777777" w:rsidR="00D52372" w:rsidRPr="00B93437" w:rsidRDefault="00D52372" w:rsidP="00B93437">
      <w:pPr>
        <w:pStyle w:val="Paragraphedeliste"/>
        <w:spacing w:line="276" w:lineRule="auto"/>
        <w:rPr>
          <w:color w:val="000000" w:themeColor="text1"/>
          <w:sz w:val="22"/>
          <w:szCs w:val="22"/>
          <w:lang w:val="fr-FR"/>
        </w:rPr>
      </w:pPr>
    </w:p>
    <w:p w14:paraId="4841D2B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Annulations successives pour des irrégularités formelles. Des complications dans les élections rectorales selon la loi 4009/2011 (CdE 2357/2014, 4474/2014, 3238/2015, 2948/2015), Théorie et Praxis du Droit administratif 8-9/2015, p. 869-876</w:t>
      </w:r>
    </w:p>
    <w:p w14:paraId="203CB71B" w14:textId="77777777" w:rsidR="00D52372" w:rsidRPr="00B93437" w:rsidRDefault="00D52372" w:rsidP="00B93437">
      <w:pPr>
        <w:pStyle w:val="Paragraphedeliste"/>
        <w:spacing w:line="276" w:lineRule="auto"/>
        <w:rPr>
          <w:color w:val="000000" w:themeColor="text1"/>
          <w:sz w:val="22"/>
          <w:szCs w:val="22"/>
          <w:lang w:val="fr-FR"/>
        </w:rPr>
      </w:pPr>
    </w:p>
    <w:p w14:paraId="5449426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L’obstination du Conseil d’Etat hellénique à annuler des actes pour des irrégularités de la procédure administrative. Réflexions à l’occasion des arrêts n° 3236/2015 et n° 4966/20114), Théorie et Praxis du Droit administratif 10/2015, p. 916-925</w:t>
      </w:r>
    </w:p>
    <w:p w14:paraId="1984463A" w14:textId="77777777" w:rsidR="00D52372" w:rsidRPr="00B93437" w:rsidRDefault="00D52372" w:rsidP="00B93437">
      <w:pPr>
        <w:spacing w:line="276" w:lineRule="auto"/>
        <w:rPr>
          <w:rFonts w:ascii="Times New Roman" w:hAnsi="Times New Roman" w:cs="Times New Roman"/>
          <w:color w:val="000000" w:themeColor="text1"/>
          <w:sz w:val="22"/>
          <w:szCs w:val="22"/>
          <w:lang w:val="fr-FR"/>
        </w:rPr>
      </w:pPr>
    </w:p>
    <w:p w14:paraId="0286E163" w14:textId="77777777" w:rsidR="00D52372" w:rsidRPr="00B93437" w:rsidRDefault="00D52372" w:rsidP="00B93437">
      <w:pPr>
        <w:pStyle w:val="ECVSectionBullet"/>
        <w:numPr>
          <w:ilvl w:val="0"/>
          <w:numId w:val="13"/>
        </w:numPr>
        <w:spacing w:line="276" w:lineRule="auto"/>
        <w:jc w:val="both"/>
        <w:rPr>
          <w:color w:val="000000" w:themeColor="text1"/>
          <w:sz w:val="22"/>
          <w:szCs w:val="22"/>
        </w:rPr>
      </w:pPr>
      <w:r w:rsidRPr="00B93437">
        <w:rPr>
          <w:color w:val="000000" w:themeColor="text1"/>
          <w:sz w:val="22"/>
          <w:szCs w:val="22"/>
          <w:lang w:val="fr-FR"/>
        </w:rPr>
        <w:t>Clarifications jurisprudentielles sur les conditions de recevabilité de la demande de décision préjudicielle. A l’occasion des arrêts de la CJUE  Gauweiler (C-62/14) et Kernkraftwerke Lippe -Ems GmbH (C-5/14),  Théorie et Praxis du Droit administratif 3-4/2016, p.  </w:t>
      </w:r>
      <w:r w:rsidRPr="00B93437">
        <w:rPr>
          <w:color w:val="000000" w:themeColor="text1"/>
          <w:sz w:val="22"/>
          <w:szCs w:val="22"/>
        </w:rPr>
        <w:t>401-415</w:t>
      </w:r>
    </w:p>
    <w:p w14:paraId="0B813CEE" w14:textId="77777777" w:rsidR="00D52372" w:rsidRPr="00B93437" w:rsidRDefault="00D52372" w:rsidP="00B93437">
      <w:pPr>
        <w:pStyle w:val="Paragraphedeliste"/>
        <w:spacing w:line="276" w:lineRule="auto"/>
        <w:rPr>
          <w:color w:val="000000" w:themeColor="text1"/>
          <w:sz w:val="22"/>
          <w:szCs w:val="22"/>
        </w:rPr>
      </w:pPr>
    </w:p>
    <w:p w14:paraId="780B1F25"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Interprétation extensive de la notion d’ « acte exécutoire d’une autorité administrative». Réflexions à l’occasion de l’arrêt du Conseil d’Etat hellénique n° 1007/2016, Théorie et Praxis du Droit administratif 7/2016, p. 668-672</w:t>
      </w:r>
    </w:p>
    <w:p w14:paraId="5DB6D779" w14:textId="77777777" w:rsidR="00D52372" w:rsidRPr="00B93437" w:rsidRDefault="00D52372" w:rsidP="00B93437">
      <w:pPr>
        <w:pStyle w:val="Paragraphedeliste"/>
        <w:spacing w:line="276" w:lineRule="auto"/>
        <w:rPr>
          <w:color w:val="000000" w:themeColor="text1"/>
          <w:sz w:val="22"/>
          <w:szCs w:val="22"/>
          <w:lang w:val="fr-FR"/>
        </w:rPr>
      </w:pPr>
    </w:p>
    <w:p w14:paraId="4A75366A"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droit administratif doit-il redevenir jurisprudentiel? Réflexions à l’occasion de l’arrêt du Conseil d’Etat hellénique n° 1392/2016), Théorie et Praxis du Droit administratif 11/2016, p. 1066-1071.</w:t>
      </w:r>
    </w:p>
    <w:p w14:paraId="0DB56B36" w14:textId="77777777" w:rsidR="00D52372" w:rsidRPr="00B93437" w:rsidRDefault="00D52372" w:rsidP="00B93437">
      <w:pPr>
        <w:pStyle w:val="Paragraphedeliste"/>
        <w:spacing w:line="276" w:lineRule="auto"/>
        <w:rPr>
          <w:color w:val="000000" w:themeColor="text1"/>
          <w:sz w:val="22"/>
          <w:szCs w:val="22"/>
          <w:lang w:val="fr-FR"/>
        </w:rPr>
      </w:pPr>
    </w:p>
    <w:p w14:paraId="03DE9CE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 dommage des détenteurs privés de titres de l’Etat grec dans le cadre de la restructuration de la dette publique grecque n’est pas imputable à la BCE. Réflexions à l’occasion de l’arrêt du Tribunal du 7.10.2015, </w:t>
      </w:r>
      <w:r w:rsidRPr="00B93437">
        <w:rPr>
          <w:color w:val="000000" w:themeColor="text1"/>
          <w:sz w:val="22"/>
          <w:szCs w:val="22"/>
        </w:rPr>
        <w:t>Τ</w:t>
      </w:r>
      <w:r w:rsidRPr="00B93437">
        <w:rPr>
          <w:color w:val="000000" w:themeColor="text1"/>
          <w:sz w:val="22"/>
          <w:szCs w:val="22"/>
          <w:lang w:val="fr-FR"/>
        </w:rPr>
        <w:t>-79/13, Alessandro Accorinti c. BCE, Droits de l’Homme 68/2016, p. 435-455</w:t>
      </w:r>
    </w:p>
    <w:p w14:paraId="0E364328" w14:textId="77777777" w:rsidR="00D52372" w:rsidRPr="00B93437" w:rsidRDefault="00D52372" w:rsidP="00B93437">
      <w:pPr>
        <w:pStyle w:val="Paragraphedeliste"/>
        <w:spacing w:line="276" w:lineRule="auto"/>
        <w:rPr>
          <w:color w:val="000000" w:themeColor="text1"/>
          <w:sz w:val="22"/>
          <w:szCs w:val="22"/>
          <w:lang w:val="fr-FR"/>
        </w:rPr>
      </w:pPr>
    </w:p>
    <w:p w14:paraId="52BB04F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Extension de la catégorie des actes susceptibles de recours pour excès de pouvoir?  Réflexions à l’occasion de l’arrêt du Conseil d’Etat hellénique n° 303/2017, Théorie et Praxis du Droit administratif 5/2017, p. 454-457</w:t>
      </w:r>
    </w:p>
    <w:p w14:paraId="6BBA2A61" w14:textId="77777777" w:rsidR="00D52372" w:rsidRPr="00B93437" w:rsidRDefault="00D52372" w:rsidP="00B93437">
      <w:pPr>
        <w:pStyle w:val="Paragraphedeliste"/>
        <w:spacing w:line="276" w:lineRule="auto"/>
        <w:rPr>
          <w:color w:val="000000" w:themeColor="text1"/>
          <w:sz w:val="22"/>
          <w:szCs w:val="22"/>
          <w:lang w:val="fr-FR"/>
        </w:rPr>
      </w:pPr>
    </w:p>
    <w:p w14:paraId="5FF8C35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lastRenderedPageBreak/>
        <w:t>Injonction du juge de l’excès de pouvoir à l’Administration en cas de décision de rejet du recours.  Réflexions à l’occasion de l’arrêt du Conseil d’Etat hellénique n° 2142/2016, Théorie et Praxis du Droit administratif   5/2017, p. 475-482</w:t>
      </w:r>
    </w:p>
    <w:p w14:paraId="656B0DC3" w14:textId="77777777" w:rsidR="00D52372" w:rsidRPr="00B93437" w:rsidRDefault="00D52372" w:rsidP="00B93437">
      <w:pPr>
        <w:pStyle w:val="Paragraphedeliste"/>
        <w:spacing w:line="276" w:lineRule="auto"/>
        <w:rPr>
          <w:color w:val="000000" w:themeColor="text1"/>
          <w:sz w:val="22"/>
          <w:szCs w:val="22"/>
          <w:lang w:val="fr-FR"/>
        </w:rPr>
      </w:pPr>
    </w:p>
    <w:p w14:paraId="56FBE94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Les limites du pouvoir du juge rapporteur pour le sauvetage du recours juridictionnel. Réflexions à l’occasion de l’arrêt du Conseil d’Etat hellénique n° 935/2017, Théorie et Praxis du Droit administratif  5/2017, p. 863-870</w:t>
      </w:r>
    </w:p>
    <w:p w14:paraId="193110CD" w14:textId="77777777" w:rsidR="00D52372" w:rsidRPr="00B93437" w:rsidRDefault="00D52372" w:rsidP="00B93437">
      <w:pPr>
        <w:pStyle w:val="Paragraphedeliste"/>
        <w:spacing w:line="276" w:lineRule="auto"/>
        <w:rPr>
          <w:color w:val="000000" w:themeColor="text1"/>
          <w:sz w:val="22"/>
          <w:szCs w:val="22"/>
          <w:lang w:val="fr-FR"/>
        </w:rPr>
      </w:pPr>
    </w:p>
    <w:p w14:paraId="0A5E514E"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Dialogue informel des juges nationaux : le </w:t>
      </w:r>
      <w:r w:rsidRPr="00B93437">
        <w:rPr>
          <w:i/>
          <w:color w:val="000000" w:themeColor="text1"/>
          <w:sz w:val="22"/>
          <w:szCs w:val="22"/>
          <w:lang w:val="fr-FR"/>
        </w:rPr>
        <w:t>soft law</w:t>
      </w:r>
      <w:r w:rsidRPr="00B93437">
        <w:rPr>
          <w:color w:val="000000" w:themeColor="text1"/>
          <w:sz w:val="22"/>
          <w:szCs w:val="22"/>
          <w:lang w:val="fr-FR"/>
        </w:rPr>
        <w:t xml:space="preserve"> au Conseil d’Etat hellénique, Théorie et Praxis du Droit administratif 10/2017, p. 1000-1015</w:t>
      </w:r>
    </w:p>
    <w:p w14:paraId="5F61E617" w14:textId="77777777" w:rsidR="00D52372" w:rsidRPr="00B93437" w:rsidRDefault="00D52372" w:rsidP="00B93437">
      <w:pPr>
        <w:pStyle w:val="Paragraphedeliste"/>
        <w:spacing w:line="276" w:lineRule="auto"/>
        <w:rPr>
          <w:color w:val="000000" w:themeColor="text1"/>
          <w:sz w:val="22"/>
          <w:szCs w:val="22"/>
          <w:lang w:val="fr-FR"/>
        </w:rPr>
      </w:pPr>
    </w:p>
    <w:p w14:paraId="49C4E88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Vers la consécration du contrôle juridictionnel direct des actes du </w:t>
      </w:r>
      <w:r w:rsidRPr="00B93437">
        <w:rPr>
          <w:i/>
          <w:color w:val="000000" w:themeColor="text1"/>
          <w:sz w:val="22"/>
          <w:szCs w:val="22"/>
          <w:lang w:val="fr-FR"/>
        </w:rPr>
        <w:t>soft law</w:t>
      </w:r>
      <w:r w:rsidRPr="00B93437">
        <w:rPr>
          <w:color w:val="000000" w:themeColor="text1"/>
          <w:sz w:val="22"/>
          <w:szCs w:val="22"/>
          <w:lang w:val="fr-FR"/>
        </w:rPr>
        <w:t xml:space="preserve"> par les juridictions de l’Union?  Réflexions à l’occasion des conclusions de M. Bobek du 12.12.20117 dans l’affaire C-16/16 P, Belgique c. Commission, Théorie et Praxis du Droit administratif 12/2017, p. 1234-1243</w:t>
      </w:r>
    </w:p>
    <w:p w14:paraId="22188923" w14:textId="77777777" w:rsidR="00D52372" w:rsidRPr="00B93437" w:rsidRDefault="00D52372" w:rsidP="00B93437">
      <w:pPr>
        <w:pStyle w:val="Paragraphedeliste"/>
        <w:spacing w:line="276" w:lineRule="auto"/>
        <w:rPr>
          <w:color w:val="000000" w:themeColor="text1"/>
          <w:sz w:val="22"/>
          <w:szCs w:val="22"/>
          <w:lang w:val="fr-FR"/>
        </w:rPr>
      </w:pPr>
    </w:p>
    <w:p w14:paraId="2251C94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Recours pour excès de pouvoir vs action en réparation: une généralisation audacieuse et dangeureuse?  Réflexions à l’occasion de l’arrêt de l’Assemblée plénière du Conseil d’Etat hellénique n° 704/2018, Théorie et Praxis du Droit administratif  3/2018, p. 232-238</w:t>
      </w:r>
    </w:p>
    <w:p w14:paraId="36A2654E" w14:textId="77777777" w:rsidR="00D52372" w:rsidRPr="00B93437" w:rsidRDefault="00D52372" w:rsidP="00B93437">
      <w:pPr>
        <w:pStyle w:val="Paragraphedeliste"/>
        <w:spacing w:line="276" w:lineRule="auto"/>
        <w:rPr>
          <w:color w:val="000000" w:themeColor="text1"/>
          <w:sz w:val="22"/>
          <w:szCs w:val="22"/>
          <w:lang w:val="fr-FR"/>
        </w:rPr>
      </w:pPr>
    </w:p>
    <w:p w14:paraId="0F153F0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Evolutions en matière de recours pour excès de pouvoir à la lumière du droit de l’Union européenne, Théorie et Praxis du Droit administratif 4-5/2018, p. 289-315</w:t>
      </w:r>
    </w:p>
    <w:p w14:paraId="3D1E986D" w14:textId="77777777" w:rsidR="00D52372" w:rsidRPr="00B93437" w:rsidRDefault="00D52372" w:rsidP="00B93437">
      <w:pPr>
        <w:pStyle w:val="Paragraphedeliste"/>
        <w:spacing w:line="276" w:lineRule="auto"/>
        <w:rPr>
          <w:color w:val="000000" w:themeColor="text1"/>
          <w:sz w:val="22"/>
          <w:szCs w:val="22"/>
          <w:lang w:val="fr-FR"/>
        </w:rPr>
      </w:pPr>
    </w:p>
    <w:p w14:paraId="59CA54A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notion de silence de l’Administration et l’obligation de se conformer aux décisions juridictionnelles à la lumière du droit de l’Union. Réflexions à l’occasion de l’arrêt de la Cour de justice du 27.7.2018, C-246/17, Ibrahima Diallo c. Belgique, Théorie et Praxis du Droit administratif 10/2018, p. 961-969</w:t>
      </w:r>
    </w:p>
    <w:p w14:paraId="421D85D2" w14:textId="77777777" w:rsidR="00D52372" w:rsidRPr="00B93437" w:rsidRDefault="00D52372" w:rsidP="00B93437">
      <w:pPr>
        <w:pStyle w:val="Paragraphedeliste"/>
        <w:spacing w:line="276" w:lineRule="auto"/>
        <w:rPr>
          <w:color w:val="000000" w:themeColor="text1"/>
          <w:sz w:val="22"/>
          <w:szCs w:val="22"/>
          <w:lang w:val="fr-FR"/>
        </w:rPr>
      </w:pPr>
    </w:p>
    <w:p w14:paraId="01A3A142"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L’interprétation conforme au droit de l’Union européenne des conditions de recevabilité du pourvoi en cassation, Théorie et Praxis du Droit administratif 3/2019, p. 193-201</w:t>
      </w:r>
    </w:p>
    <w:p w14:paraId="7D6E1DE4" w14:textId="77777777" w:rsidR="00D52372" w:rsidRPr="00B93437" w:rsidRDefault="00D52372" w:rsidP="00B93437">
      <w:pPr>
        <w:pStyle w:val="Paragraphedeliste"/>
        <w:spacing w:line="276" w:lineRule="auto"/>
        <w:rPr>
          <w:color w:val="000000" w:themeColor="text1"/>
          <w:sz w:val="22"/>
          <w:szCs w:val="22"/>
          <w:lang w:val="fr-FR"/>
        </w:rPr>
      </w:pPr>
    </w:p>
    <w:p w14:paraId="047DA78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nature juridique des avis du Conseil juridique de l’Etat relatifs au traitement juridictionnel des affaires de l ‘Etat: conséquence dogmatique, courtoisie institutionnelle ou réalisme ?, Théorie et Praxis du Droit administratif 3/2019, p. 221-230</w:t>
      </w:r>
    </w:p>
    <w:p w14:paraId="639069B6" w14:textId="77777777" w:rsidR="00D52372" w:rsidRPr="00B93437" w:rsidRDefault="00D52372" w:rsidP="00B93437">
      <w:pPr>
        <w:pStyle w:val="Paragraphedeliste"/>
        <w:spacing w:line="276" w:lineRule="auto"/>
        <w:rPr>
          <w:color w:val="000000" w:themeColor="text1"/>
          <w:sz w:val="22"/>
          <w:szCs w:val="22"/>
          <w:lang w:val="fr-FR"/>
        </w:rPr>
      </w:pPr>
    </w:p>
    <w:p w14:paraId="3634678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Du juge censeur au juge correcteur – Nouveaux pouvoirs pour le juge d’annulation.  Réflexions à l’occasion de l’arrêt du Conseil d’Etat hellénique n° 573/2019, Théorie et Praxis du Droit administratif  4/2019, p. 316-320</w:t>
      </w:r>
    </w:p>
    <w:p w14:paraId="1373610F" w14:textId="77777777" w:rsidR="00D52372" w:rsidRPr="00B93437" w:rsidRDefault="00D52372" w:rsidP="00B93437">
      <w:pPr>
        <w:pStyle w:val="Paragraphedeliste"/>
        <w:spacing w:line="276" w:lineRule="auto"/>
        <w:rPr>
          <w:color w:val="000000" w:themeColor="text1"/>
          <w:sz w:val="22"/>
          <w:szCs w:val="22"/>
          <w:lang w:val="fr-FR"/>
        </w:rPr>
      </w:pPr>
    </w:p>
    <w:p w14:paraId="4C5F41D5"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Les limites du pouvoir normatif du juge, cohérence jurisprudentielle et sécurité juridique. Réflexions à l’occasion de l’arrêt de l’Assemblée plénière du Conseil d’Etat hellénique n° 689/2019, Théorie et Praxis du Droit administratif 6/2019, p. 493-498</w:t>
      </w:r>
    </w:p>
    <w:p w14:paraId="7D6D69DB" w14:textId="77777777" w:rsidR="00D52372" w:rsidRPr="00B93437" w:rsidRDefault="00D52372" w:rsidP="00B93437">
      <w:pPr>
        <w:pStyle w:val="Paragraphedeliste"/>
        <w:spacing w:line="276" w:lineRule="auto"/>
        <w:rPr>
          <w:color w:val="000000" w:themeColor="text1"/>
          <w:sz w:val="22"/>
          <w:szCs w:val="22"/>
          <w:lang w:val="fr-FR"/>
        </w:rPr>
      </w:pPr>
    </w:p>
    <w:p w14:paraId="698302D2"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Obstination sur la légalité objective vs subjectivisation du recours pour excès de pouvoir: motivation «archaique» d’un jugement rationnel.  Réflexions à l’occasion de l’arrêt de l’Assemblée plénière du Conseil d’Etat hellénique n° </w:t>
      </w:r>
      <w:r w:rsidRPr="00B93437">
        <w:rPr>
          <w:color w:val="000000" w:themeColor="text1"/>
          <w:sz w:val="22"/>
          <w:szCs w:val="22"/>
        </w:rPr>
        <w:t>Ολ</w:t>
      </w:r>
      <w:r w:rsidRPr="00B93437">
        <w:rPr>
          <w:color w:val="000000" w:themeColor="text1"/>
          <w:sz w:val="22"/>
          <w:szCs w:val="22"/>
          <w:lang w:val="fr-FR"/>
        </w:rPr>
        <w:t xml:space="preserve"> 682/2019, Théorie et Praxis du Droit administratif   11/2019, p. 1030-1039</w:t>
      </w:r>
    </w:p>
    <w:p w14:paraId="621033B0" w14:textId="77777777" w:rsidR="00D52372" w:rsidRPr="00B93437" w:rsidRDefault="00D52372" w:rsidP="00B93437">
      <w:pPr>
        <w:pStyle w:val="Paragraphedeliste"/>
        <w:spacing w:line="276" w:lineRule="auto"/>
        <w:rPr>
          <w:color w:val="000000" w:themeColor="text1"/>
          <w:sz w:val="22"/>
          <w:szCs w:val="22"/>
          <w:lang w:val="fr-FR"/>
        </w:rPr>
      </w:pPr>
    </w:p>
    <w:p w14:paraId="229BDB61"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Les «injonctions» du juge administratif à l’Administration, Théorie et Praxis du Droit administratif 12/2019, p. 1065-1075</w:t>
      </w:r>
    </w:p>
    <w:p w14:paraId="503BD60E" w14:textId="77777777" w:rsidR="00D52372" w:rsidRPr="00B93437" w:rsidRDefault="00D52372" w:rsidP="00B93437">
      <w:pPr>
        <w:pStyle w:val="Paragraphedeliste"/>
        <w:spacing w:line="276" w:lineRule="auto"/>
        <w:rPr>
          <w:color w:val="000000" w:themeColor="text1"/>
          <w:sz w:val="22"/>
          <w:szCs w:val="22"/>
          <w:lang w:val="fr-FR"/>
        </w:rPr>
      </w:pPr>
    </w:p>
    <w:p w14:paraId="228FAB4F"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Le rapport entre les articles 19 TUE et 47 de la Charte des Droits fondamentaux de l’UE à la lumière de l’indépendance et de l’effectivité du pouvoir juridictionnel, Procès administratif 6/2019, p. 956-965</w:t>
      </w:r>
    </w:p>
    <w:p w14:paraId="7CABAF77" w14:textId="77777777" w:rsidR="00D52372" w:rsidRPr="00B93437" w:rsidRDefault="00D52372" w:rsidP="00B93437">
      <w:pPr>
        <w:pStyle w:val="Paragraphedeliste"/>
        <w:spacing w:line="276" w:lineRule="auto"/>
        <w:rPr>
          <w:color w:val="000000" w:themeColor="text1"/>
          <w:sz w:val="22"/>
          <w:szCs w:val="22"/>
          <w:lang w:val="fr-FR"/>
        </w:rPr>
      </w:pPr>
    </w:p>
    <w:p w14:paraId="61776A28"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L’indépendance de la justice dans la jurisprudence récente de la CJUE, La Constitution 2/2019, p. 339-361</w:t>
      </w:r>
    </w:p>
    <w:p w14:paraId="3D305906" w14:textId="77777777" w:rsidR="00D52372" w:rsidRPr="00B93437" w:rsidRDefault="00D52372" w:rsidP="00B93437">
      <w:pPr>
        <w:pStyle w:val="Paragraphedeliste"/>
        <w:spacing w:line="276" w:lineRule="auto"/>
        <w:rPr>
          <w:color w:val="000000" w:themeColor="text1"/>
          <w:sz w:val="22"/>
          <w:szCs w:val="22"/>
          <w:lang w:val="fr-FR"/>
        </w:rPr>
      </w:pPr>
    </w:p>
    <w:p w14:paraId="02D40284"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nature juridique des actes du gestionnaire de réseau dans le secteur de l’ énergie et leur contrôle juridictionnel, Energie et Droit 30/2019, p. 28-45</w:t>
      </w:r>
    </w:p>
    <w:p w14:paraId="1A71326F" w14:textId="77777777" w:rsidR="00D52372" w:rsidRPr="00B93437" w:rsidRDefault="00D52372" w:rsidP="00B93437">
      <w:pPr>
        <w:pStyle w:val="Paragraphedeliste"/>
        <w:spacing w:line="276" w:lineRule="auto"/>
        <w:rPr>
          <w:color w:val="000000" w:themeColor="text1"/>
          <w:sz w:val="22"/>
          <w:szCs w:val="22"/>
          <w:lang w:val="fr-FR"/>
        </w:rPr>
      </w:pPr>
    </w:p>
    <w:p w14:paraId="03A893D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La notion de « juridiction d’un des Etats membres» selon l’article </w:t>
      </w:r>
      <w:r w:rsidRPr="00B93437">
        <w:rPr>
          <w:color w:val="000000" w:themeColor="text1"/>
          <w:sz w:val="22"/>
          <w:szCs w:val="22"/>
        </w:rPr>
        <w:t>άρθρο</w:t>
      </w:r>
      <w:r w:rsidRPr="00B93437">
        <w:rPr>
          <w:color w:val="000000" w:themeColor="text1"/>
          <w:sz w:val="22"/>
          <w:szCs w:val="22"/>
          <w:lang w:val="fr-FR"/>
        </w:rPr>
        <w:t xml:space="preserve"> 267 TFUE dans la jurisprudence récente de la Cour: </w:t>
      </w:r>
      <w:r w:rsidRPr="00B93437">
        <w:rPr>
          <w:i/>
          <w:color w:val="000000" w:themeColor="text1"/>
          <w:sz w:val="22"/>
          <w:szCs w:val="22"/>
          <w:lang w:val="fr-FR"/>
        </w:rPr>
        <w:t>judicial passivism</w:t>
      </w:r>
      <w:r w:rsidRPr="00B93437">
        <w:rPr>
          <w:color w:val="000000" w:themeColor="text1"/>
          <w:sz w:val="22"/>
          <w:szCs w:val="22"/>
          <w:lang w:val="fr-FR"/>
        </w:rPr>
        <w:t xml:space="preserve">, évolution jurisprudentielle rationnelle ou conséquence dogmatique ?, </w:t>
      </w:r>
      <w:hyperlink r:id="rId11" w:history="1">
        <w:r w:rsidRPr="00B93437">
          <w:rPr>
            <w:rStyle w:val="Lienhypertexte"/>
            <w:rFonts w:eastAsia="Microsoft YaHei"/>
            <w:sz w:val="22"/>
            <w:szCs w:val="22"/>
            <w:lang w:val="fr-FR"/>
          </w:rPr>
          <w:t>www.constitutionalism.gr</w:t>
        </w:r>
      </w:hyperlink>
      <w:r w:rsidRPr="00B93437">
        <w:rPr>
          <w:color w:val="000000" w:themeColor="text1"/>
          <w:sz w:val="22"/>
          <w:szCs w:val="22"/>
          <w:lang w:val="fr-FR"/>
        </w:rPr>
        <w:t xml:space="preserve"> et Applications du Droit Public </w:t>
      </w:r>
      <w:r w:rsidRPr="00B93437">
        <w:rPr>
          <w:color w:val="000000" w:themeColor="text1"/>
          <w:sz w:val="22"/>
          <w:szCs w:val="22"/>
        </w:rPr>
        <w:t>ΙΙ</w:t>
      </w:r>
      <w:r w:rsidRPr="00B93437">
        <w:rPr>
          <w:color w:val="000000" w:themeColor="text1"/>
          <w:sz w:val="22"/>
          <w:szCs w:val="22"/>
          <w:lang w:val="fr-FR"/>
        </w:rPr>
        <w:t>/2020, p. 219-235</w:t>
      </w:r>
    </w:p>
    <w:p w14:paraId="753B419D" w14:textId="77777777" w:rsidR="00D52372" w:rsidRPr="00B93437" w:rsidRDefault="00D52372" w:rsidP="00B93437">
      <w:pPr>
        <w:pStyle w:val="Paragraphedeliste"/>
        <w:spacing w:line="276" w:lineRule="auto"/>
        <w:rPr>
          <w:color w:val="000000" w:themeColor="text1"/>
          <w:sz w:val="22"/>
          <w:szCs w:val="22"/>
          <w:lang w:val="fr-FR"/>
        </w:rPr>
      </w:pPr>
    </w:p>
    <w:p w14:paraId="7D5126EE"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 rôle de l’information dans la démocratie contemporaine et le phénomène des </w:t>
      </w:r>
      <w:r w:rsidRPr="00B93437">
        <w:rPr>
          <w:i/>
          <w:color w:val="000000" w:themeColor="text1"/>
          <w:sz w:val="22"/>
          <w:szCs w:val="22"/>
          <w:lang w:val="fr-FR"/>
        </w:rPr>
        <w:t>fake news</w:t>
      </w:r>
      <w:r w:rsidRPr="00B93437">
        <w:rPr>
          <w:color w:val="000000" w:themeColor="text1"/>
          <w:sz w:val="22"/>
          <w:szCs w:val="22"/>
          <w:lang w:val="fr-FR"/>
        </w:rPr>
        <w:t>, De Jure 25/2020, p. 10-18</w:t>
      </w:r>
    </w:p>
    <w:p w14:paraId="2D4F8541" w14:textId="77777777" w:rsidR="00D52372" w:rsidRPr="00B93437" w:rsidRDefault="00D52372" w:rsidP="00B93437">
      <w:pPr>
        <w:pStyle w:val="Paragraphedeliste"/>
        <w:spacing w:line="276" w:lineRule="auto"/>
        <w:rPr>
          <w:color w:val="000000" w:themeColor="text1"/>
          <w:sz w:val="22"/>
          <w:szCs w:val="22"/>
          <w:lang w:val="fr-FR"/>
        </w:rPr>
      </w:pPr>
    </w:p>
    <w:p w14:paraId="5EB7CDC7"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Approche maximaliste dans le contrôle juridictionnel des actes réglementaires (à l’occasion de l’arrêt du Conseil d’Etat hellénique n° 1992/2020), Syntagma Watch, du 24/12/2020</w:t>
      </w:r>
    </w:p>
    <w:p w14:paraId="4C5E29DA" w14:textId="77777777" w:rsidR="00D52372" w:rsidRPr="00B93437" w:rsidRDefault="00D52372" w:rsidP="00B93437">
      <w:pPr>
        <w:pStyle w:val="Paragraphedeliste"/>
        <w:spacing w:line="276" w:lineRule="auto"/>
        <w:rPr>
          <w:color w:val="000000" w:themeColor="text1"/>
          <w:sz w:val="22"/>
          <w:szCs w:val="22"/>
          <w:lang w:val="fr-FR"/>
        </w:rPr>
      </w:pPr>
    </w:p>
    <w:p w14:paraId="537872E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La constitutionnalité des limites de l’obligation de l’Administration de se conformer à un arrêt d’annulation pour des raisons impératives d’intérêt public.  Réflexions à l’occasion de l’arrêt du Conseil d’Etat hellénique n° 2137/2019, Théorie et Praxis du Droit administratif 1/2020, p. 84-91</w:t>
      </w:r>
    </w:p>
    <w:p w14:paraId="4EDBDDAE" w14:textId="77777777" w:rsidR="00D52372" w:rsidRPr="00B93437" w:rsidRDefault="00D52372" w:rsidP="00B93437">
      <w:pPr>
        <w:pStyle w:val="Paragraphedeliste"/>
        <w:spacing w:line="276" w:lineRule="auto"/>
        <w:rPr>
          <w:color w:val="000000" w:themeColor="text1"/>
          <w:sz w:val="22"/>
          <w:szCs w:val="22"/>
          <w:lang w:val="fr-FR"/>
        </w:rPr>
      </w:pPr>
    </w:p>
    <w:p w14:paraId="63D4420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Un Lazare juridique …. L’homogénéité des valeurs et le pluralisme constitutionnel en tant que moyens de résoudre les conflits entre les ordres juridiques. (A l’occasion de l’arrêt du Conseil d’Etat hellénique n° 359/2020), Théorie et Praxis du Droit administratif 6/2020, p. 487-494</w:t>
      </w:r>
    </w:p>
    <w:p w14:paraId="60F64DB3" w14:textId="77777777" w:rsidR="00D52372" w:rsidRPr="00B93437" w:rsidRDefault="00D52372" w:rsidP="00B93437">
      <w:pPr>
        <w:pStyle w:val="Paragraphedeliste"/>
        <w:spacing w:line="276" w:lineRule="auto"/>
        <w:rPr>
          <w:color w:val="000000" w:themeColor="text1"/>
          <w:sz w:val="22"/>
          <w:szCs w:val="22"/>
          <w:lang w:val="fr-FR"/>
        </w:rPr>
      </w:pPr>
    </w:p>
    <w:p w14:paraId="640FC496"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On nous change notre droit administratif…. A l’occasion de l’arrêt de l’Assemblée plénière du Conseil d’Etat hellénique n° 1819/2020, Théorie et Praxis du Droit administratif, 10/2020, p. 900-903</w:t>
      </w:r>
    </w:p>
    <w:p w14:paraId="4BF5924C" w14:textId="77777777" w:rsidR="00D52372" w:rsidRPr="00B93437" w:rsidRDefault="00D52372" w:rsidP="00B93437">
      <w:pPr>
        <w:pStyle w:val="Paragraphedeliste"/>
        <w:spacing w:line="276" w:lineRule="auto"/>
        <w:rPr>
          <w:color w:val="000000" w:themeColor="text1"/>
          <w:sz w:val="22"/>
          <w:szCs w:val="22"/>
          <w:lang w:val="fr-FR"/>
        </w:rPr>
      </w:pPr>
    </w:p>
    <w:p w14:paraId="26FA455A"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en-US"/>
        </w:rPr>
      </w:pPr>
      <w:r w:rsidRPr="00B93437">
        <w:rPr>
          <w:color w:val="000000" w:themeColor="text1"/>
          <w:sz w:val="22"/>
          <w:szCs w:val="22"/>
          <w:lang w:val="en-US"/>
        </w:rPr>
        <w:t xml:space="preserve">Le droit administratif devant le </w:t>
      </w:r>
      <w:r w:rsidRPr="00B93437">
        <w:rPr>
          <w:i/>
          <w:color w:val="000000" w:themeColor="text1"/>
          <w:sz w:val="22"/>
          <w:szCs w:val="22"/>
          <w:lang w:val="en-US"/>
        </w:rPr>
        <w:t>Court of Arbitration for Sports</w:t>
      </w:r>
      <w:r w:rsidRPr="00B93437">
        <w:rPr>
          <w:color w:val="000000" w:themeColor="text1"/>
          <w:sz w:val="22"/>
          <w:szCs w:val="22"/>
          <w:lang w:val="en-US"/>
        </w:rPr>
        <w:t>, Syntagma Watch, 5/3/2021</w:t>
      </w:r>
    </w:p>
    <w:p w14:paraId="6A435C11" w14:textId="77777777" w:rsidR="00D52372" w:rsidRPr="00B93437" w:rsidRDefault="00D52372" w:rsidP="00B93437">
      <w:pPr>
        <w:pStyle w:val="Paragraphedeliste"/>
        <w:spacing w:line="276" w:lineRule="auto"/>
        <w:rPr>
          <w:color w:val="000000" w:themeColor="text1"/>
          <w:sz w:val="22"/>
          <w:szCs w:val="22"/>
          <w:lang w:val="en-US"/>
        </w:rPr>
      </w:pPr>
    </w:p>
    <w:p w14:paraId="352FF83B"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To effet utile des arrêts d’annulation, Théorie et Praxis du Droit administratif 1/2021, p. 26-35</w:t>
      </w:r>
    </w:p>
    <w:p w14:paraId="0C52B32C" w14:textId="77777777" w:rsidR="00D52372" w:rsidRPr="00B93437" w:rsidRDefault="00D52372" w:rsidP="00B93437">
      <w:pPr>
        <w:pStyle w:val="Paragraphedeliste"/>
        <w:spacing w:line="276" w:lineRule="auto"/>
        <w:rPr>
          <w:color w:val="000000" w:themeColor="text1"/>
          <w:sz w:val="22"/>
          <w:szCs w:val="22"/>
          <w:lang w:val="fr-FR"/>
        </w:rPr>
      </w:pPr>
    </w:p>
    <w:p w14:paraId="5BB05A40"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Les divergences de jurisprudence et la demande de réouverture du procès sur le recours pour excès de pouvoir. Réflexions à l’occasion de l’arrêt de l’Assemblée plénière du </w:t>
      </w:r>
      <w:r w:rsidRPr="00B93437">
        <w:rPr>
          <w:color w:val="000000" w:themeColor="text1"/>
          <w:sz w:val="22"/>
          <w:szCs w:val="22"/>
          <w:lang w:val="fr-FR"/>
        </w:rPr>
        <w:lastRenderedPageBreak/>
        <w:t xml:space="preserve">Conseil d’Etat hellénique n° 2208/2020, Théorie et Praxis du Droit administratif, 4/2021, </w:t>
      </w:r>
      <w:r w:rsidRPr="00B93437">
        <w:rPr>
          <w:color w:val="000000" w:themeColor="text1"/>
          <w:sz w:val="22"/>
          <w:szCs w:val="22"/>
        </w:rPr>
        <w:t>σελ</w:t>
      </w:r>
      <w:r w:rsidRPr="00B93437">
        <w:rPr>
          <w:color w:val="000000" w:themeColor="text1"/>
          <w:sz w:val="22"/>
          <w:szCs w:val="22"/>
          <w:lang w:val="fr-FR"/>
        </w:rPr>
        <w:t>. 327-343</w:t>
      </w:r>
    </w:p>
    <w:p w14:paraId="17833D18" w14:textId="77777777" w:rsidR="00D52372" w:rsidRPr="00B93437" w:rsidRDefault="00D52372" w:rsidP="00B93437">
      <w:pPr>
        <w:pStyle w:val="Paragraphedeliste"/>
        <w:spacing w:line="276" w:lineRule="auto"/>
        <w:rPr>
          <w:bCs/>
          <w:color w:val="000000" w:themeColor="text1"/>
          <w:sz w:val="22"/>
          <w:szCs w:val="22"/>
          <w:lang w:val="fr-FR"/>
        </w:rPr>
      </w:pPr>
    </w:p>
    <w:p w14:paraId="20CB6E27"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bCs/>
          <w:color w:val="000000" w:themeColor="text1"/>
          <w:sz w:val="22"/>
          <w:szCs w:val="22"/>
          <w:lang w:val="fr-FR"/>
        </w:rPr>
        <w:t>Protection de l’identité constitutionnelle sans contrôle </w:t>
      </w:r>
      <w:r w:rsidRPr="00B93437">
        <w:rPr>
          <w:bCs/>
          <w:i/>
          <w:iCs/>
          <w:color w:val="000000" w:themeColor="text1"/>
          <w:sz w:val="22"/>
          <w:szCs w:val="22"/>
          <w:lang w:val="fr-FR"/>
        </w:rPr>
        <w:t>ultra</w:t>
      </w:r>
      <w:r w:rsidRPr="00B93437">
        <w:rPr>
          <w:color w:val="000000" w:themeColor="text1"/>
          <w:sz w:val="22"/>
          <w:szCs w:val="22"/>
          <w:shd w:val="clear" w:color="auto" w:fill="FFFFFF"/>
          <w:lang w:val="fr-FR"/>
        </w:rPr>
        <w:t> </w:t>
      </w:r>
      <w:r w:rsidRPr="00B93437">
        <w:rPr>
          <w:bCs/>
          <w:i/>
          <w:iCs/>
          <w:color w:val="000000" w:themeColor="text1"/>
          <w:sz w:val="22"/>
          <w:szCs w:val="22"/>
          <w:lang w:val="fr-FR"/>
        </w:rPr>
        <w:t>vires</w:t>
      </w:r>
      <w:r w:rsidRPr="00B93437">
        <w:rPr>
          <w:bCs/>
          <w:color w:val="000000" w:themeColor="text1"/>
          <w:sz w:val="22"/>
          <w:szCs w:val="22"/>
          <w:lang w:val="fr-FR"/>
        </w:rPr>
        <w:t> : des leçons de </w:t>
      </w:r>
      <w:r w:rsidRPr="00B93437">
        <w:rPr>
          <w:bCs/>
          <w:i/>
          <w:iCs/>
          <w:color w:val="000000" w:themeColor="text1"/>
          <w:sz w:val="22"/>
          <w:szCs w:val="22"/>
          <w:lang w:val="fr-FR"/>
        </w:rPr>
        <w:t>Europafreundlichkeit</w:t>
      </w:r>
      <w:r w:rsidRPr="00B93437">
        <w:rPr>
          <w:bCs/>
          <w:color w:val="000000" w:themeColor="text1"/>
          <w:sz w:val="22"/>
          <w:szCs w:val="22"/>
          <w:lang w:val="fr-FR"/>
        </w:rPr>
        <w:t> de la part du </w:t>
      </w:r>
      <w:r w:rsidRPr="00B93437">
        <w:rPr>
          <w:bCs/>
          <w:iCs/>
          <w:color w:val="000000" w:themeColor="text1"/>
          <w:sz w:val="22"/>
          <w:szCs w:val="22"/>
          <w:lang w:val="fr-FR"/>
        </w:rPr>
        <w:t>Conseil</w:t>
      </w:r>
      <w:r w:rsidRPr="00B93437">
        <w:rPr>
          <w:color w:val="000000" w:themeColor="text1"/>
          <w:sz w:val="22"/>
          <w:szCs w:val="22"/>
          <w:shd w:val="clear" w:color="auto" w:fill="FFFFFF"/>
          <w:lang w:val="fr-FR"/>
        </w:rPr>
        <w:t> </w:t>
      </w:r>
      <w:r w:rsidRPr="00B93437">
        <w:rPr>
          <w:bCs/>
          <w:iCs/>
          <w:color w:val="000000" w:themeColor="text1"/>
          <w:sz w:val="22"/>
          <w:szCs w:val="22"/>
          <w:lang w:val="fr-FR"/>
        </w:rPr>
        <w:t>d’Etat français</w:t>
      </w:r>
      <w:r w:rsidRPr="00B93437">
        <w:rPr>
          <w:bCs/>
          <w:i/>
          <w:iCs/>
          <w:color w:val="000000" w:themeColor="text1"/>
          <w:sz w:val="22"/>
          <w:szCs w:val="22"/>
          <w:lang w:val="fr-FR"/>
        </w:rPr>
        <w:t xml:space="preserve">. </w:t>
      </w:r>
      <w:r w:rsidRPr="00B93437">
        <w:rPr>
          <w:bCs/>
          <w:iCs/>
          <w:color w:val="000000" w:themeColor="text1"/>
          <w:sz w:val="22"/>
          <w:szCs w:val="22"/>
          <w:lang w:val="fr-FR"/>
        </w:rPr>
        <w:t xml:space="preserve">(A l’occasion de l’arrêt </w:t>
      </w:r>
      <w:r w:rsidRPr="00B93437">
        <w:rPr>
          <w:sz w:val="22"/>
          <w:szCs w:val="22"/>
          <w:lang w:val="fr-FR"/>
        </w:rPr>
        <w:t xml:space="preserve"> CE Ass. 21 avril 2021, French Data Network e.a., n° 393099, 394922, 397844, 397851, 424717, 424718)</w:t>
      </w:r>
      <w:r w:rsidRPr="00B93437">
        <w:rPr>
          <w:bCs/>
          <w:i/>
          <w:iCs/>
          <w:color w:val="000000" w:themeColor="text1"/>
          <w:sz w:val="22"/>
          <w:szCs w:val="22"/>
          <w:lang w:val="fr-FR"/>
        </w:rPr>
        <w:t xml:space="preserve">, </w:t>
      </w:r>
      <w:hyperlink r:id="rId12" w:history="1">
        <w:r w:rsidRPr="00B93437">
          <w:rPr>
            <w:rStyle w:val="Lienhypertexte"/>
            <w:rFonts w:eastAsia="Microsoft YaHei"/>
            <w:bCs/>
            <w:iCs/>
            <w:sz w:val="22"/>
            <w:szCs w:val="22"/>
            <w:lang w:val="fr-FR"/>
          </w:rPr>
          <w:t>www.constitutionalism.gr</w:t>
        </w:r>
      </w:hyperlink>
      <w:r w:rsidRPr="00B93437">
        <w:rPr>
          <w:bCs/>
          <w:iCs/>
          <w:color w:val="000000" w:themeColor="text1"/>
          <w:sz w:val="22"/>
          <w:szCs w:val="22"/>
          <w:lang w:val="fr-FR"/>
        </w:rPr>
        <w:t xml:space="preserve"> 3/5/2021 et </w:t>
      </w:r>
      <w:r w:rsidRPr="00B93437">
        <w:rPr>
          <w:color w:val="000000" w:themeColor="text1"/>
          <w:sz w:val="22"/>
          <w:szCs w:val="22"/>
          <w:lang w:val="fr-FR"/>
        </w:rPr>
        <w:t>Théorie et Praxis du Droit administratif 6/2021, p. 637-648</w:t>
      </w:r>
    </w:p>
    <w:p w14:paraId="374D9CFE" w14:textId="77777777" w:rsidR="00D52372" w:rsidRPr="00B93437" w:rsidRDefault="00D52372" w:rsidP="00B93437">
      <w:pPr>
        <w:pStyle w:val="Paragraphedeliste"/>
        <w:spacing w:line="276" w:lineRule="auto"/>
        <w:rPr>
          <w:color w:val="000000" w:themeColor="text1"/>
          <w:sz w:val="22"/>
          <w:szCs w:val="22"/>
          <w:lang w:val="fr-FR"/>
        </w:rPr>
      </w:pPr>
    </w:p>
    <w:p w14:paraId="378C9969"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 xml:space="preserve">Les contrats de travail à durée déterminée dans le secteur public : entre le principe de primauté du droit de l’Union, l’interdiction constitutionnelle et le principe d’interprétation conforme. Réflexions à l’occasion de l’arrêt de la CJUE du 11.2.2021, </w:t>
      </w:r>
      <w:r w:rsidRPr="00B93437">
        <w:rPr>
          <w:i/>
          <w:color w:val="000000" w:themeColor="text1"/>
          <w:sz w:val="22"/>
          <w:szCs w:val="22"/>
          <w:lang w:val="fr-FR"/>
        </w:rPr>
        <w:t xml:space="preserve">C-760/18, </w:t>
      </w:r>
      <w:r w:rsidRPr="00B93437">
        <w:rPr>
          <w:i/>
          <w:color w:val="000000" w:themeColor="text1"/>
          <w:sz w:val="22"/>
          <w:szCs w:val="22"/>
        </w:rPr>
        <w:t>Μ</w:t>
      </w:r>
      <w:r w:rsidRPr="00B93437">
        <w:rPr>
          <w:i/>
          <w:color w:val="000000" w:themeColor="text1"/>
          <w:sz w:val="22"/>
          <w:szCs w:val="22"/>
          <w:lang w:val="fr-FR"/>
        </w:rPr>
        <w:t xml:space="preserve">.V. e.a. c. </w:t>
      </w:r>
      <w:r w:rsidRPr="00B93437">
        <w:rPr>
          <w:i/>
          <w:color w:val="000000" w:themeColor="text1"/>
          <w:sz w:val="22"/>
          <w:szCs w:val="22"/>
        </w:rPr>
        <w:t>Ο</w:t>
      </w:r>
      <w:r w:rsidRPr="00B93437">
        <w:rPr>
          <w:i/>
          <w:color w:val="000000" w:themeColor="text1"/>
          <w:sz w:val="22"/>
          <w:szCs w:val="22"/>
          <w:lang w:val="fr-FR"/>
        </w:rPr>
        <w:t>.</w:t>
      </w:r>
      <w:r w:rsidRPr="00B93437">
        <w:rPr>
          <w:i/>
          <w:color w:val="000000" w:themeColor="text1"/>
          <w:sz w:val="22"/>
          <w:szCs w:val="22"/>
        </w:rPr>
        <w:t>Τ</w:t>
      </w:r>
      <w:r w:rsidRPr="00B93437">
        <w:rPr>
          <w:i/>
          <w:color w:val="000000" w:themeColor="text1"/>
          <w:sz w:val="22"/>
          <w:szCs w:val="22"/>
          <w:lang w:val="fr-FR"/>
        </w:rPr>
        <w:t>.</w:t>
      </w:r>
      <w:r w:rsidRPr="00B93437">
        <w:rPr>
          <w:i/>
          <w:color w:val="000000" w:themeColor="text1"/>
          <w:sz w:val="22"/>
          <w:szCs w:val="22"/>
        </w:rPr>
        <w:t>Α</w:t>
      </w:r>
      <w:r w:rsidRPr="00B93437">
        <w:rPr>
          <w:i/>
          <w:color w:val="000000" w:themeColor="text1"/>
          <w:sz w:val="22"/>
          <w:szCs w:val="22"/>
          <w:lang w:val="fr-FR"/>
        </w:rPr>
        <w:t>. «Dimos Agiou Nikolaou»</w:t>
      </w:r>
      <w:r w:rsidRPr="00B93437">
        <w:rPr>
          <w:color w:val="000000" w:themeColor="text1"/>
          <w:sz w:val="22"/>
          <w:szCs w:val="22"/>
          <w:lang w:val="fr-FR"/>
        </w:rPr>
        <w:t>, Revue du Droit de Travail 4/2021, p. 389-410</w:t>
      </w:r>
    </w:p>
    <w:p w14:paraId="27E62285" w14:textId="77777777" w:rsidR="00D52372" w:rsidRPr="00B93437" w:rsidRDefault="00D52372" w:rsidP="00B93437">
      <w:pPr>
        <w:pStyle w:val="Paragraphedeliste"/>
        <w:spacing w:line="276" w:lineRule="auto"/>
        <w:rPr>
          <w:color w:val="000000" w:themeColor="text1"/>
          <w:sz w:val="22"/>
          <w:szCs w:val="22"/>
          <w:lang w:val="fr-FR"/>
        </w:rPr>
      </w:pPr>
    </w:p>
    <w:p w14:paraId="42C705D5" w14:textId="77777777" w:rsidR="00D52372" w:rsidRPr="00B93437" w:rsidRDefault="00D52372" w:rsidP="00B93437">
      <w:pPr>
        <w:pStyle w:val="ECVSectionBullet"/>
        <w:numPr>
          <w:ilvl w:val="0"/>
          <w:numId w:val="13"/>
        </w:numPr>
        <w:spacing w:line="276" w:lineRule="auto"/>
        <w:jc w:val="both"/>
        <w:rPr>
          <w:color w:val="000000" w:themeColor="text1"/>
          <w:sz w:val="22"/>
          <w:szCs w:val="22"/>
          <w:lang w:val="fr-FR"/>
        </w:rPr>
      </w:pPr>
      <w:r w:rsidRPr="00B93437">
        <w:rPr>
          <w:color w:val="000000" w:themeColor="text1"/>
          <w:sz w:val="22"/>
          <w:szCs w:val="22"/>
          <w:lang w:val="fr-FR"/>
        </w:rPr>
        <w:t>Impossibilité justifiée d’appliquer un arrêt de Section d’une Cour suprême en raison de son désapprobation par l’Assemblée de la même juridiction,  Revue du Droit public et administratif 2/2021 (sous presse)</w:t>
      </w:r>
    </w:p>
    <w:p w14:paraId="38458B9C" w14:textId="77777777" w:rsidR="00D52372" w:rsidRPr="00B93437" w:rsidRDefault="00D52372" w:rsidP="00B93437">
      <w:pPr>
        <w:pStyle w:val="ECVSectionBullet"/>
        <w:spacing w:line="276" w:lineRule="auto"/>
        <w:jc w:val="both"/>
        <w:rPr>
          <w:sz w:val="22"/>
          <w:szCs w:val="22"/>
          <w:lang w:val="fr-FR"/>
        </w:rPr>
      </w:pPr>
    </w:p>
    <w:p w14:paraId="5F09B9BC" w14:textId="77777777" w:rsidR="00D52372" w:rsidRPr="00B93437" w:rsidRDefault="00D52372" w:rsidP="00B93437">
      <w:pPr>
        <w:pStyle w:val="ECVSectionBullet"/>
        <w:spacing w:line="276" w:lineRule="auto"/>
        <w:ind w:left="113"/>
        <w:rPr>
          <w:sz w:val="22"/>
          <w:szCs w:val="22"/>
          <w:lang w:val="fr-FR"/>
        </w:rPr>
      </w:pPr>
    </w:p>
    <w:p w14:paraId="132747E0" w14:textId="77777777" w:rsidR="00D52372" w:rsidRPr="00B93437" w:rsidRDefault="00D52372" w:rsidP="00B93437">
      <w:pPr>
        <w:pStyle w:val="ECVSectionBullet"/>
        <w:numPr>
          <w:ilvl w:val="0"/>
          <w:numId w:val="5"/>
        </w:numPr>
        <w:spacing w:line="276" w:lineRule="auto"/>
        <w:rPr>
          <w:b/>
          <w:sz w:val="22"/>
          <w:szCs w:val="22"/>
          <w:lang w:val="fr-FR"/>
        </w:rPr>
      </w:pPr>
      <w:r w:rsidRPr="00B93437">
        <w:rPr>
          <w:b/>
          <w:sz w:val="22"/>
          <w:szCs w:val="22"/>
          <w:lang w:val="fr-FR"/>
        </w:rPr>
        <w:t>Autres articles publiés</w:t>
      </w:r>
    </w:p>
    <w:p w14:paraId="64FD2966" w14:textId="77777777" w:rsidR="00D52372" w:rsidRPr="00B93437" w:rsidRDefault="00D52372" w:rsidP="00B93437">
      <w:pPr>
        <w:pStyle w:val="ECVSectionBullet"/>
        <w:spacing w:line="276" w:lineRule="auto"/>
        <w:rPr>
          <w:sz w:val="22"/>
          <w:szCs w:val="22"/>
          <w:lang w:val="fr-FR"/>
        </w:rPr>
      </w:pPr>
    </w:p>
    <w:p w14:paraId="5F2A23C4"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Problèmes de causalité en matière de fautes disciplinaires des fonctionnaires, in J. Strangas/J. Gravaris/Ant. Chanos (éd.), Cause, Causalité et Droit, Sakkoulas, Athènes-L’Harmattan, Paris-Torino-Budapest, 2003, p. 481-520</w:t>
      </w:r>
    </w:p>
    <w:p w14:paraId="6EAAFDC0" w14:textId="77777777" w:rsidR="00D52372" w:rsidRPr="00B93437" w:rsidRDefault="00D52372" w:rsidP="00B93437">
      <w:pPr>
        <w:pStyle w:val="ECVSectionBullet"/>
        <w:spacing w:line="276" w:lineRule="auto"/>
        <w:ind w:left="720"/>
        <w:rPr>
          <w:color w:val="000000" w:themeColor="text1"/>
          <w:sz w:val="22"/>
          <w:szCs w:val="22"/>
          <w:lang w:val="fr-FR"/>
        </w:rPr>
      </w:pPr>
    </w:p>
    <w:p w14:paraId="30D5B001"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La Cour de justice des Communautés européennes et le « judicial activism », in Mélanges en l’honneur de Ioannis Manoledakis, Sakkoulas, Athènes-Thessalonique, 2007, tome III, p. 461-487</w:t>
      </w:r>
    </w:p>
    <w:p w14:paraId="10CDD694" w14:textId="77777777" w:rsidR="00D52372" w:rsidRPr="00B93437" w:rsidRDefault="00D52372" w:rsidP="00B93437">
      <w:pPr>
        <w:pStyle w:val="ECVSectionBullet"/>
        <w:spacing w:line="276" w:lineRule="auto"/>
        <w:ind w:left="720"/>
        <w:rPr>
          <w:color w:val="000000" w:themeColor="text1"/>
          <w:sz w:val="22"/>
          <w:szCs w:val="22"/>
          <w:lang w:val="fr-FR"/>
        </w:rPr>
      </w:pPr>
    </w:p>
    <w:p w14:paraId="43ADB8CB"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 xml:space="preserve">Le cadre juridique de la création et du fonctionnement des Maisons de vieillesse, in A. Koutsouradis/C. Soldatos/M. Malliori (éd.), Psychiatrie et Droit, Ant. </w:t>
      </w:r>
      <w:r w:rsidRPr="00B93437">
        <w:rPr>
          <w:color w:val="000000" w:themeColor="text1"/>
          <w:sz w:val="22"/>
          <w:szCs w:val="22"/>
        </w:rPr>
        <w:t>Ν</w:t>
      </w:r>
      <w:r w:rsidRPr="00B93437">
        <w:rPr>
          <w:color w:val="000000" w:themeColor="text1"/>
          <w:sz w:val="22"/>
          <w:szCs w:val="22"/>
          <w:lang w:val="fr-FR"/>
        </w:rPr>
        <w:t>. Sakkoulas, Athènes-Komotini, 2008, p. 265-292</w:t>
      </w:r>
    </w:p>
    <w:p w14:paraId="7A971318" w14:textId="77777777" w:rsidR="00D52372" w:rsidRPr="00B93437" w:rsidRDefault="00D52372" w:rsidP="00B93437">
      <w:pPr>
        <w:pStyle w:val="Paragraphedeliste"/>
        <w:spacing w:line="276" w:lineRule="auto"/>
        <w:rPr>
          <w:color w:val="000000" w:themeColor="text1"/>
          <w:sz w:val="22"/>
          <w:szCs w:val="22"/>
          <w:lang w:val="fr-FR"/>
        </w:rPr>
      </w:pPr>
    </w:p>
    <w:p w14:paraId="10C46746"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 xml:space="preserve">La notion d’ «organe juridictionnel» dans la jurisprudence récente du Conseil d'Etat hellénique et de la Cour de justice des Communautés européennes, in Mélanges en l’honneur du professeur L. Theocharopoulos et D. Theocharopoulou, Thessalonique, 2009, tome </w:t>
      </w:r>
      <w:r w:rsidRPr="00B93437">
        <w:rPr>
          <w:color w:val="000000" w:themeColor="text1"/>
          <w:sz w:val="22"/>
          <w:szCs w:val="22"/>
        </w:rPr>
        <w:t>Ι</w:t>
      </w:r>
      <w:r w:rsidRPr="00B93437">
        <w:rPr>
          <w:color w:val="000000" w:themeColor="text1"/>
          <w:sz w:val="22"/>
          <w:szCs w:val="22"/>
          <w:lang w:val="fr-FR"/>
        </w:rPr>
        <w:t>, p. 589-631</w:t>
      </w:r>
    </w:p>
    <w:p w14:paraId="59BA9CF4" w14:textId="77777777" w:rsidR="00D52372" w:rsidRPr="00B93437" w:rsidRDefault="00D52372" w:rsidP="00B93437">
      <w:pPr>
        <w:pStyle w:val="Paragraphedeliste"/>
        <w:spacing w:line="276" w:lineRule="auto"/>
        <w:rPr>
          <w:color w:val="000000" w:themeColor="text1"/>
          <w:sz w:val="22"/>
          <w:szCs w:val="22"/>
          <w:lang w:val="fr-FR"/>
        </w:rPr>
      </w:pPr>
    </w:p>
    <w:p w14:paraId="67242324"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Le contentieux d’annulation à la lumière de la Convention européenne des Droits de l’Homme, in Le Droit public en mutation. Mélanges en l’honneur du professeur Petros Pararas, Ant. N. Sakkoulas, 2012, p. 822-883</w:t>
      </w:r>
    </w:p>
    <w:p w14:paraId="7065087F" w14:textId="77777777" w:rsidR="00D52372" w:rsidRPr="00B93437" w:rsidRDefault="00D52372" w:rsidP="00B93437">
      <w:pPr>
        <w:pStyle w:val="Paragraphedeliste"/>
        <w:spacing w:line="276" w:lineRule="auto"/>
        <w:rPr>
          <w:color w:val="000000" w:themeColor="text1"/>
          <w:sz w:val="22"/>
          <w:szCs w:val="22"/>
          <w:lang w:val="fr-FR"/>
        </w:rPr>
      </w:pPr>
    </w:p>
    <w:p w14:paraId="6F03E9F8"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 xml:space="preserve">La motivation des actes administratifs réglementaires, in   </w:t>
      </w:r>
      <w:r w:rsidRPr="00B93437">
        <w:rPr>
          <w:i/>
          <w:color w:val="000000" w:themeColor="text1"/>
          <w:sz w:val="22"/>
          <w:szCs w:val="22"/>
          <w:lang w:val="fr-FR"/>
        </w:rPr>
        <w:t>J. Strangas/Ant. Chanos/Chr. Papacharalambous/D. Pyrgakis/M. Tsapogas (éd.)</w:t>
      </w:r>
      <w:r w:rsidRPr="00B93437">
        <w:rPr>
          <w:color w:val="000000" w:themeColor="text1"/>
          <w:sz w:val="22"/>
          <w:szCs w:val="22"/>
          <w:lang w:val="fr-FR"/>
        </w:rPr>
        <w:t>, Motivation, Légitimation et Droit,  Sakkoulas-Nomos-L’Harmattan, 2014, p. 935-963</w:t>
      </w:r>
    </w:p>
    <w:p w14:paraId="0433B646" w14:textId="77777777" w:rsidR="00D52372" w:rsidRPr="00B93437" w:rsidRDefault="00D52372" w:rsidP="00B93437">
      <w:pPr>
        <w:pStyle w:val="Paragraphedeliste"/>
        <w:spacing w:line="276" w:lineRule="auto"/>
        <w:rPr>
          <w:color w:val="000000" w:themeColor="text1"/>
          <w:sz w:val="22"/>
          <w:szCs w:val="22"/>
          <w:lang w:val="fr-FR"/>
        </w:rPr>
      </w:pPr>
    </w:p>
    <w:p w14:paraId="4EE4538D"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lastRenderedPageBreak/>
        <w:t>Le principe de légalité, in Th. Antoniou (éd.), Principes généraux de Droit public, Nomiki Bibliothiki, 2014, p. 133-209</w:t>
      </w:r>
    </w:p>
    <w:p w14:paraId="286623F0" w14:textId="77777777" w:rsidR="00D52372" w:rsidRPr="00B93437" w:rsidRDefault="00D52372" w:rsidP="00B93437">
      <w:pPr>
        <w:pStyle w:val="Paragraphedeliste"/>
        <w:spacing w:line="276" w:lineRule="auto"/>
        <w:rPr>
          <w:color w:val="000000" w:themeColor="text1"/>
          <w:sz w:val="22"/>
          <w:szCs w:val="22"/>
          <w:lang w:val="fr-FR"/>
        </w:rPr>
      </w:pPr>
    </w:p>
    <w:p w14:paraId="717D6E40"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L’accès de l’Union européenne à la Convention européenne des Droits de l’Homme et les rapports entre les deux cours supra-nationationales, in Mélanges pour le Cinquantenaire des Tribunaux Administratifs, Sakkoulas, Athènes-Thessalonique, 2015, p. 1219-1252</w:t>
      </w:r>
    </w:p>
    <w:p w14:paraId="73FB72B3" w14:textId="77777777" w:rsidR="00D52372" w:rsidRPr="00B93437" w:rsidRDefault="00D52372" w:rsidP="00B93437">
      <w:pPr>
        <w:pStyle w:val="Paragraphedeliste"/>
        <w:spacing w:line="276" w:lineRule="auto"/>
        <w:rPr>
          <w:color w:val="000000" w:themeColor="text1"/>
          <w:sz w:val="22"/>
          <w:szCs w:val="22"/>
          <w:lang w:val="fr-FR"/>
        </w:rPr>
      </w:pPr>
    </w:p>
    <w:p w14:paraId="106C3AFC"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Le respect de l’identité nationale en tant que principe du droit de l’Union européenne, in L. Papadopoulou/E. Prevedourou/C. Gogos (éd.), La CJUE en tant que garant du bon fonctionnement de l’UE et des droits des citoyens. Congrès en l’honneur du Professeur Vassilios Skouris, Sakkoulas, Athènes-Thessalonique, 2016, p. 45-73</w:t>
      </w:r>
    </w:p>
    <w:p w14:paraId="231F9610" w14:textId="77777777" w:rsidR="00D52372" w:rsidRPr="00B93437" w:rsidRDefault="00D52372" w:rsidP="00B93437">
      <w:pPr>
        <w:pStyle w:val="Paragraphedeliste"/>
        <w:spacing w:line="276" w:lineRule="auto"/>
        <w:rPr>
          <w:color w:val="000000" w:themeColor="text1"/>
          <w:sz w:val="22"/>
          <w:szCs w:val="22"/>
          <w:lang w:val="fr-FR"/>
        </w:rPr>
      </w:pPr>
    </w:p>
    <w:p w14:paraId="0DCCA65A"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Les conséquences du contrôle exercé dans le contentieux d’annulation – Limites des effets d’annulation, in Le Juge, la Loi et l’Environnement, Mélanges en l’honneur de Constantin Menoudakos, Président honoraire du Conseil d’Etat, Sakkoulas, 2016, p. 307-330</w:t>
      </w:r>
    </w:p>
    <w:p w14:paraId="7F16898E" w14:textId="77777777" w:rsidR="00D52372" w:rsidRPr="00B93437" w:rsidRDefault="00D52372" w:rsidP="00B93437">
      <w:pPr>
        <w:pStyle w:val="Paragraphedeliste"/>
        <w:spacing w:line="276" w:lineRule="auto"/>
        <w:rPr>
          <w:color w:val="000000" w:themeColor="text1"/>
          <w:sz w:val="22"/>
          <w:szCs w:val="22"/>
          <w:lang w:val="fr-FR"/>
        </w:rPr>
      </w:pPr>
    </w:p>
    <w:p w14:paraId="1EA81C00" w14:textId="77777777" w:rsidR="00D52372" w:rsidRPr="00B93437" w:rsidRDefault="00D52372" w:rsidP="00B93437">
      <w:pPr>
        <w:pStyle w:val="ECVSectionBullet"/>
        <w:numPr>
          <w:ilvl w:val="0"/>
          <w:numId w:val="19"/>
        </w:numPr>
        <w:spacing w:line="276" w:lineRule="auto"/>
        <w:jc w:val="both"/>
        <w:rPr>
          <w:color w:val="000000" w:themeColor="text1"/>
          <w:sz w:val="22"/>
          <w:szCs w:val="22"/>
        </w:rPr>
      </w:pPr>
      <w:r w:rsidRPr="00B93437">
        <w:rPr>
          <w:color w:val="000000" w:themeColor="text1"/>
          <w:sz w:val="22"/>
          <w:szCs w:val="22"/>
          <w:lang w:val="fr-FR"/>
        </w:rPr>
        <w:t>Le dialogue entre la CJUE et la CEDH, in Association des magistrats/Conseil d’Etat (éd.), La CEDH et le Conseil d’Etat en dialogue continu. Nouvelles</w:t>
      </w:r>
      <w:r w:rsidRPr="00B93437">
        <w:rPr>
          <w:color w:val="000000" w:themeColor="text1"/>
          <w:sz w:val="22"/>
          <w:szCs w:val="22"/>
        </w:rPr>
        <w:t xml:space="preserve"> é</w:t>
      </w:r>
      <w:r w:rsidRPr="00B93437">
        <w:rPr>
          <w:color w:val="000000" w:themeColor="text1"/>
          <w:sz w:val="22"/>
          <w:szCs w:val="22"/>
          <w:lang w:val="fr-FR"/>
        </w:rPr>
        <w:t>volutions</w:t>
      </w:r>
      <w:r w:rsidRPr="00B93437">
        <w:rPr>
          <w:color w:val="000000" w:themeColor="text1"/>
          <w:sz w:val="22"/>
          <w:szCs w:val="22"/>
        </w:rPr>
        <w:t xml:space="preserve">, </w:t>
      </w:r>
      <w:r w:rsidRPr="00B93437">
        <w:rPr>
          <w:color w:val="000000" w:themeColor="text1"/>
          <w:sz w:val="22"/>
          <w:szCs w:val="22"/>
          <w:lang w:val="fr-FR"/>
        </w:rPr>
        <w:t>Sakkoulas, Athènes-Thessalonique</w:t>
      </w:r>
      <w:r w:rsidRPr="00B93437">
        <w:rPr>
          <w:color w:val="000000" w:themeColor="text1"/>
          <w:sz w:val="22"/>
          <w:szCs w:val="22"/>
        </w:rPr>
        <w:t xml:space="preserve">, 2018, </w:t>
      </w:r>
      <w:r w:rsidRPr="00B93437">
        <w:rPr>
          <w:color w:val="000000" w:themeColor="text1"/>
          <w:sz w:val="22"/>
          <w:szCs w:val="22"/>
          <w:lang w:val="fr-FR"/>
        </w:rPr>
        <w:t>p</w:t>
      </w:r>
      <w:r w:rsidRPr="00B93437">
        <w:rPr>
          <w:color w:val="000000" w:themeColor="text1"/>
          <w:sz w:val="22"/>
          <w:szCs w:val="22"/>
        </w:rPr>
        <w:t>. 117-142</w:t>
      </w:r>
    </w:p>
    <w:p w14:paraId="3246F8CD" w14:textId="77777777" w:rsidR="00D52372" w:rsidRPr="00B93437" w:rsidRDefault="00D52372" w:rsidP="00B93437">
      <w:pPr>
        <w:pStyle w:val="Paragraphedeliste"/>
        <w:spacing w:line="276" w:lineRule="auto"/>
        <w:rPr>
          <w:color w:val="000000" w:themeColor="text1"/>
          <w:sz w:val="22"/>
          <w:szCs w:val="22"/>
        </w:rPr>
      </w:pPr>
    </w:p>
    <w:p w14:paraId="67C3B147"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 xml:space="preserve">Les questions juridiques de l’interdiction de la reproduction médicalement assistée </w:t>
      </w:r>
      <w:r w:rsidRPr="00B93437">
        <w:rPr>
          <w:i/>
          <w:color w:val="000000" w:themeColor="text1"/>
          <w:sz w:val="22"/>
          <w:szCs w:val="22"/>
          <w:lang w:val="fr-FR"/>
        </w:rPr>
        <w:t>post mortem</w:t>
      </w:r>
      <w:r w:rsidRPr="00B93437">
        <w:rPr>
          <w:color w:val="000000" w:themeColor="text1"/>
          <w:sz w:val="22"/>
          <w:szCs w:val="22"/>
          <w:lang w:val="fr-FR"/>
        </w:rPr>
        <w:t xml:space="preserve">. Réflections à l’occasion de l’arrêt du CE, Ass., 31.5.2016, Mme Gonzalez Gomez, in </w:t>
      </w:r>
      <w:r w:rsidRPr="00B93437">
        <w:rPr>
          <w:color w:val="000000" w:themeColor="text1"/>
          <w:sz w:val="22"/>
          <w:szCs w:val="22"/>
        </w:rPr>
        <w:t>Ε</w:t>
      </w:r>
      <w:r w:rsidRPr="00B93437">
        <w:rPr>
          <w:color w:val="000000" w:themeColor="text1"/>
          <w:sz w:val="22"/>
          <w:szCs w:val="22"/>
          <w:lang w:val="fr-FR"/>
        </w:rPr>
        <w:t>. Symeonidou/</w:t>
      </w:r>
      <w:r w:rsidRPr="00B93437">
        <w:rPr>
          <w:color w:val="000000" w:themeColor="text1"/>
          <w:sz w:val="22"/>
          <w:szCs w:val="22"/>
        </w:rPr>
        <w:t>Κ</w:t>
      </w:r>
      <w:r w:rsidRPr="00B93437">
        <w:rPr>
          <w:color w:val="000000" w:themeColor="text1"/>
          <w:sz w:val="22"/>
          <w:szCs w:val="22"/>
          <w:lang w:val="fr-FR"/>
        </w:rPr>
        <w:t xml:space="preserve">. </w:t>
      </w:r>
      <w:r w:rsidRPr="00B93437">
        <w:rPr>
          <w:color w:val="000000" w:themeColor="text1"/>
          <w:sz w:val="22"/>
          <w:szCs w:val="22"/>
        </w:rPr>
        <w:t>Κ</w:t>
      </w:r>
      <w:r w:rsidRPr="00B93437">
        <w:rPr>
          <w:color w:val="000000" w:themeColor="text1"/>
          <w:sz w:val="22"/>
          <w:szCs w:val="22"/>
          <w:lang w:val="fr-FR"/>
        </w:rPr>
        <w:t>ipouridou/</w:t>
      </w:r>
      <w:r w:rsidRPr="00B93437">
        <w:rPr>
          <w:color w:val="000000" w:themeColor="text1"/>
          <w:sz w:val="22"/>
          <w:szCs w:val="22"/>
        </w:rPr>
        <w:t>Μ</w:t>
      </w:r>
      <w:r w:rsidRPr="00B93437">
        <w:rPr>
          <w:color w:val="000000" w:themeColor="text1"/>
          <w:sz w:val="22"/>
          <w:szCs w:val="22"/>
          <w:lang w:val="fr-FR"/>
        </w:rPr>
        <w:t xml:space="preserve">. </w:t>
      </w:r>
      <w:r w:rsidRPr="00B93437">
        <w:rPr>
          <w:color w:val="000000" w:themeColor="text1"/>
          <w:sz w:val="22"/>
          <w:szCs w:val="22"/>
        </w:rPr>
        <w:t>Μ</w:t>
      </w:r>
      <w:r w:rsidRPr="00B93437">
        <w:rPr>
          <w:color w:val="000000" w:themeColor="text1"/>
          <w:sz w:val="22"/>
          <w:szCs w:val="22"/>
          <w:lang w:val="fr-FR"/>
        </w:rPr>
        <w:t>ilapidou (éd.), Technologie et Reproduction médicalement assistée, Nomiki Bibliothiki, 2019, p. 85-96</w:t>
      </w:r>
    </w:p>
    <w:p w14:paraId="5974E4B5" w14:textId="77777777" w:rsidR="00D52372" w:rsidRPr="00B93437" w:rsidRDefault="00D52372" w:rsidP="00B93437">
      <w:pPr>
        <w:pStyle w:val="Paragraphedeliste"/>
        <w:spacing w:line="276" w:lineRule="auto"/>
        <w:rPr>
          <w:color w:val="000000" w:themeColor="text1"/>
          <w:sz w:val="22"/>
          <w:szCs w:val="22"/>
          <w:lang w:val="fr-FR"/>
        </w:rPr>
      </w:pPr>
    </w:p>
    <w:p w14:paraId="7476CD84"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 xml:space="preserve">L’amélioration de la protection juridictionnelle à la lumière du droit de l’Union européenne, in </w:t>
      </w:r>
      <w:r w:rsidRPr="00B93437">
        <w:rPr>
          <w:i/>
          <w:color w:val="000000" w:themeColor="text1"/>
          <w:sz w:val="22"/>
          <w:szCs w:val="22"/>
          <w:lang w:val="fr-FR"/>
        </w:rPr>
        <w:t>L. Papadopoulou/C. Gogos/ M. Pikramenos (éd.)</w:t>
      </w:r>
      <w:r w:rsidRPr="00B93437">
        <w:rPr>
          <w:color w:val="000000" w:themeColor="text1"/>
          <w:sz w:val="22"/>
          <w:szCs w:val="22"/>
          <w:lang w:val="fr-FR"/>
        </w:rPr>
        <w:t>, La Grèce en Europe. Congrès à la mémoire des professeurs du droit constitutionnel D. Tsatsos et G. Papadimitriou, Eurasia, 2019, p. 277-298</w:t>
      </w:r>
    </w:p>
    <w:p w14:paraId="0CB73206" w14:textId="77777777" w:rsidR="00D52372" w:rsidRPr="00B93437" w:rsidRDefault="00D52372" w:rsidP="00B93437">
      <w:pPr>
        <w:pStyle w:val="Paragraphedeliste"/>
        <w:spacing w:line="276" w:lineRule="auto"/>
        <w:rPr>
          <w:color w:val="000000" w:themeColor="text1"/>
          <w:sz w:val="22"/>
          <w:szCs w:val="22"/>
          <w:lang w:val="fr-FR"/>
        </w:rPr>
      </w:pPr>
    </w:p>
    <w:p w14:paraId="6B06C766" w14:textId="77777777" w:rsidR="00D52372" w:rsidRPr="00B93437" w:rsidRDefault="00D52372" w:rsidP="00B93437">
      <w:pPr>
        <w:pStyle w:val="ECVSectionBullet"/>
        <w:numPr>
          <w:ilvl w:val="0"/>
          <w:numId w:val="19"/>
        </w:numPr>
        <w:spacing w:line="276" w:lineRule="auto"/>
        <w:jc w:val="both"/>
        <w:rPr>
          <w:color w:val="000000" w:themeColor="text1"/>
          <w:sz w:val="22"/>
          <w:szCs w:val="22"/>
          <w:lang w:val="fr-FR"/>
        </w:rPr>
      </w:pPr>
      <w:r w:rsidRPr="00B93437">
        <w:rPr>
          <w:color w:val="000000" w:themeColor="text1"/>
          <w:sz w:val="22"/>
          <w:szCs w:val="22"/>
          <w:lang w:val="fr-FR"/>
        </w:rPr>
        <w:t>Problèmes d’application des décisions juridictionnelles par l’Administration: entêtement administratif ou maximalism juridictionnel?, in Mélanges en mémoire de la professeure Dimitra Kontogiorga-Theocharopoulou, Sakkoulas, Athènes-Thessalonique, 2020, p. 123-153</w:t>
      </w:r>
    </w:p>
    <w:p w14:paraId="7E1C8F3C" w14:textId="77777777" w:rsidR="00D52372" w:rsidRPr="00B93437" w:rsidRDefault="00D52372" w:rsidP="00B93437">
      <w:pPr>
        <w:pStyle w:val="ECVSectionBullet"/>
        <w:spacing w:line="276" w:lineRule="auto"/>
        <w:rPr>
          <w:sz w:val="22"/>
          <w:szCs w:val="22"/>
          <w:lang w:val="fr-FR"/>
        </w:rPr>
      </w:pPr>
    </w:p>
    <w:p w14:paraId="28AFE251" w14:textId="77777777" w:rsidR="00D52372" w:rsidRPr="00B93437" w:rsidRDefault="00D52372" w:rsidP="00B93437">
      <w:pPr>
        <w:pStyle w:val="ECVSectionBullet"/>
        <w:spacing w:line="276" w:lineRule="auto"/>
        <w:ind w:left="113"/>
        <w:rPr>
          <w:sz w:val="22"/>
          <w:szCs w:val="22"/>
          <w:lang w:val="fr-FR"/>
        </w:rPr>
      </w:pPr>
    </w:p>
    <w:p w14:paraId="7E89F817" w14:textId="77777777" w:rsidR="00D52372" w:rsidRPr="00B93437" w:rsidRDefault="00D52372" w:rsidP="00B93437">
      <w:pPr>
        <w:pStyle w:val="ECVSectionBullet"/>
        <w:numPr>
          <w:ilvl w:val="0"/>
          <w:numId w:val="5"/>
        </w:numPr>
        <w:spacing w:line="276" w:lineRule="auto"/>
        <w:rPr>
          <w:b/>
          <w:sz w:val="22"/>
          <w:szCs w:val="22"/>
          <w:lang w:val="fr-FR"/>
        </w:rPr>
      </w:pPr>
      <w:r w:rsidRPr="00B93437">
        <w:rPr>
          <w:b/>
          <w:sz w:val="22"/>
          <w:szCs w:val="22"/>
          <w:lang w:val="fr-FR"/>
        </w:rPr>
        <w:t xml:space="preserve">Rapports et études dont le candidat a été le rapporteur, le coordinateur ou le directeur </w:t>
      </w:r>
    </w:p>
    <w:p w14:paraId="0DFF932E" w14:textId="77777777" w:rsidR="00D52372" w:rsidRPr="00B93437" w:rsidRDefault="00D52372" w:rsidP="00B93437">
      <w:pPr>
        <w:pStyle w:val="ECVSectionBullet"/>
        <w:spacing w:line="276" w:lineRule="auto"/>
        <w:ind w:left="113"/>
        <w:rPr>
          <w:color w:val="000000" w:themeColor="text1"/>
          <w:sz w:val="22"/>
          <w:szCs w:val="22"/>
          <w:lang w:val="fr-FR"/>
        </w:rPr>
      </w:pPr>
    </w:p>
    <w:p w14:paraId="20BDF2C0" w14:textId="77777777" w:rsidR="00D52372" w:rsidRPr="00B93437" w:rsidRDefault="00D52372" w:rsidP="00B93437">
      <w:pPr>
        <w:pStyle w:val="ECVSectionBullet"/>
        <w:spacing w:line="276" w:lineRule="auto"/>
        <w:ind w:left="113"/>
        <w:jc w:val="both"/>
        <w:rPr>
          <w:color w:val="000000" w:themeColor="text1"/>
          <w:sz w:val="22"/>
          <w:szCs w:val="22"/>
          <w:lang w:val="fr-FR"/>
        </w:rPr>
      </w:pPr>
      <w:r w:rsidRPr="00B93437">
        <w:rPr>
          <w:color w:val="000000" w:themeColor="text1"/>
          <w:sz w:val="22"/>
          <w:szCs w:val="22"/>
          <w:lang w:val="fr-FR"/>
        </w:rPr>
        <w:t>Les devoirs de coopération des autorités et des juridictions nationales avec les institutions communautaires en vertu de l’article 10 CE (ex article 5 du traité CE), rapport grec pour le XIX congrès FIDE, Helsinki 1-3 juin 2000, p. 133-172</w:t>
      </w:r>
    </w:p>
    <w:p w14:paraId="32167B94"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238FAFB7" w14:textId="77777777" w:rsidR="00D52372" w:rsidRPr="00B93437" w:rsidRDefault="00D52372" w:rsidP="00B93437">
      <w:pPr>
        <w:pStyle w:val="ECVSectionBullet"/>
        <w:spacing w:line="276" w:lineRule="auto"/>
        <w:ind w:left="113"/>
        <w:jc w:val="both"/>
        <w:rPr>
          <w:color w:val="000000" w:themeColor="text1"/>
          <w:sz w:val="22"/>
          <w:szCs w:val="22"/>
          <w:lang w:val="fr-FR"/>
        </w:rPr>
      </w:pPr>
      <w:r w:rsidRPr="00B93437">
        <w:rPr>
          <w:color w:val="000000" w:themeColor="text1"/>
          <w:sz w:val="22"/>
          <w:szCs w:val="22"/>
          <w:lang w:val="fr-FR"/>
        </w:rPr>
        <w:t xml:space="preserve">Le droit de l’Union européenne et les Constitutions nationales (European Union Law and National Constitutions), rapport hellénique pour le XX congrès FIDE, London 30 octobre-2 </w:t>
      </w:r>
      <w:r w:rsidRPr="00B93437">
        <w:rPr>
          <w:color w:val="000000" w:themeColor="text1"/>
          <w:sz w:val="22"/>
          <w:szCs w:val="22"/>
          <w:lang w:val="fr-FR"/>
        </w:rPr>
        <w:lastRenderedPageBreak/>
        <w:t>Novembre 2002, vol. II, p. 259-366 (rapporteurs J. Iliopoulos-Strangas et Eugénie Prevedourou)</w:t>
      </w:r>
    </w:p>
    <w:p w14:paraId="5A54B5E1"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7ED24DA1" w14:textId="77777777" w:rsidR="00D52372" w:rsidRPr="00B93437" w:rsidRDefault="00D52372" w:rsidP="00B93437">
      <w:pPr>
        <w:pStyle w:val="ECVSectionBullet"/>
        <w:spacing w:line="276" w:lineRule="auto"/>
        <w:ind w:left="113"/>
        <w:jc w:val="both"/>
        <w:rPr>
          <w:color w:val="000000" w:themeColor="text1"/>
          <w:sz w:val="22"/>
          <w:szCs w:val="22"/>
          <w:lang w:val="fr-FR"/>
        </w:rPr>
      </w:pPr>
      <w:r w:rsidRPr="00B93437">
        <w:rPr>
          <w:color w:val="000000" w:themeColor="text1"/>
          <w:sz w:val="22"/>
          <w:szCs w:val="22"/>
          <w:lang w:val="fr-FR"/>
        </w:rPr>
        <w:t>Risque et droit de l’urbanisme en Europe (Grèce, rapport national), in Les cahiers de GRIDAUH, n° 20-2011, p. 229-238</w:t>
      </w:r>
    </w:p>
    <w:p w14:paraId="64F911F9"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42335A4B" w14:textId="77777777" w:rsidR="00D52372" w:rsidRPr="00B93437" w:rsidRDefault="00D52372" w:rsidP="00B93437">
      <w:pPr>
        <w:pStyle w:val="ECVSectionBullet"/>
        <w:spacing w:line="276" w:lineRule="auto"/>
        <w:ind w:left="113"/>
        <w:jc w:val="both"/>
        <w:rPr>
          <w:color w:val="000000" w:themeColor="text1"/>
          <w:sz w:val="22"/>
          <w:szCs w:val="22"/>
          <w:lang w:val="en-US"/>
        </w:rPr>
      </w:pPr>
      <w:r w:rsidRPr="00B93437">
        <w:rPr>
          <w:color w:val="000000" w:themeColor="text1"/>
          <w:sz w:val="22"/>
          <w:szCs w:val="22"/>
          <w:lang w:val="en-US"/>
        </w:rPr>
        <w:t xml:space="preserve">The Taxi Market in Greece, in </w:t>
      </w:r>
      <w:r w:rsidRPr="00B93437">
        <w:rPr>
          <w:i/>
          <w:color w:val="000000" w:themeColor="text1"/>
          <w:sz w:val="22"/>
          <w:szCs w:val="22"/>
          <w:lang w:val="en-US"/>
        </w:rPr>
        <w:t>R. Noguellou/D. Renders (ed.)</w:t>
      </w:r>
      <w:r w:rsidRPr="00B93437">
        <w:rPr>
          <w:color w:val="000000" w:themeColor="text1"/>
          <w:sz w:val="22"/>
          <w:szCs w:val="22"/>
          <w:lang w:val="en-US"/>
        </w:rPr>
        <w:t>, Uber &amp; Taxis. Comparative Law Studies, Bruylant, 2018, p. 251-259</w:t>
      </w:r>
    </w:p>
    <w:p w14:paraId="471BCB1C"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104BBF2D" w14:textId="77777777" w:rsidR="00D52372" w:rsidRPr="00B93437" w:rsidRDefault="00D52372" w:rsidP="00B93437">
      <w:pPr>
        <w:pStyle w:val="ECVSectionBullet"/>
        <w:spacing w:line="276" w:lineRule="auto"/>
        <w:ind w:left="113"/>
        <w:jc w:val="both"/>
        <w:rPr>
          <w:color w:val="000000" w:themeColor="text1"/>
          <w:sz w:val="22"/>
          <w:szCs w:val="22"/>
          <w:lang w:val="fr-FR"/>
        </w:rPr>
      </w:pPr>
    </w:p>
    <w:p w14:paraId="44F1D832" w14:textId="77777777" w:rsidR="00D52372" w:rsidRPr="00B93437" w:rsidRDefault="00D52372" w:rsidP="00B93437">
      <w:pPr>
        <w:pStyle w:val="ECVSectionBullet"/>
        <w:numPr>
          <w:ilvl w:val="0"/>
          <w:numId w:val="5"/>
        </w:numPr>
        <w:spacing w:line="276" w:lineRule="auto"/>
        <w:rPr>
          <w:b/>
          <w:sz w:val="22"/>
          <w:szCs w:val="22"/>
          <w:lang w:val="fr-FR"/>
        </w:rPr>
      </w:pPr>
      <w:r w:rsidRPr="00B93437">
        <w:rPr>
          <w:b/>
          <w:sz w:val="22"/>
          <w:szCs w:val="22"/>
          <w:lang w:val="fr-FR"/>
        </w:rPr>
        <w:t>Critique d’ouvrages</w:t>
      </w:r>
    </w:p>
    <w:p w14:paraId="0CFFCE82" w14:textId="77777777" w:rsidR="00D52372" w:rsidRPr="00B93437" w:rsidRDefault="00D52372" w:rsidP="00B93437">
      <w:pPr>
        <w:pStyle w:val="ECVSectionBullet"/>
        <w:spacing w:line="276" w:lineRule="auto"/>
        <w:rPr>
          <w:b/>
          <w:sz w:val="22"/>
          <w:szCs w:val="22"/>
          <w:lang w:val="fr-FR"/>
        </w:rPr>
      </w:pPr>
    </w:p>
    <w:p w14:paraId="4CA20A9F" w14:textId="77777777" w:rsidR="00D52372" w:rsidRPr="00B93437" w:rsidRDefault="00D52372" w:rsidP="00B93437">
      <w:pPr>
        <w:pStyle w:val="ECVSectionBullet"/>
        <w:spacing w:line="276" w:lineRule="auto"/>
        <w:ind w:left="113"/>
        <w:jc w:val="both"/>
        <w:rPr>
          <w:color w:val="000000" w:themeColor="text1"/>
          <w:sz w:val="22"/>
          <w:szCs w:val="22"/>
          <w:lang w:val="fr-FR"/>
        </w:rPr>
      </w:pPr>
      <w:r w:rsidRPr="00B93437">
        <w:rPr>
          <w:sz w:val="22"/>
          <w:szCs w:val="22"/>
          <w:lang w:val="fr-FR"/>
        </w:rPr>
        <w:t xml:space="preserve">Commentaire sur le livre de </w:t>
      </w:r>
      <w:r w:rsidRPr="00B93437">
        <w:rPr>
          <w:i/>
          <w:color w:val="000000" w:themeColor="text1"/>
          <w:sz w:val="22"/>
          <w:szCs w:val="22"/>
          <w:lang w:val="fr-FR"/>
        </w:rPr>
        <w:t>Bernard Pacteau</w:t>
      </w:r>
      <w:r w:rsidRPr="00B93437">
        <w:rPr>
          <w:color w:val="000000" w:themeColor="text1"/>
          <w:sz w:val="22"/>
          <w:szCs w:val="22"/>
          <w:lang w:val="fr-FR"/>
        </w:rPr>
        <w:t>, Le Conseil d’État et la fondation de la justice administrative française au XIXe siècle, PUF, 2003 (ToS 4/2003, p. 787)789)</w:t>
      </w:r>
    </w:p>
    <w:p w14:paraId="7F7E54D8" w14:textId="77777777" w:rsidR="00D52372" w:rsidRPr="00B93437" w:rsidRDefault="00D52372" w:rsidP="00B93437">
      <w:pPr>
        <w:pStyle w:val="ECVSectionBullet"/>
        <w:spacing w:line="276" w:lineRule="auto"/>
        <w:ind w:left="113"/>
        <w:jc w:val="both"/>
        <w:rPr>
          <w:sz w:val="22"/>
          <w:szCs w:val="22"/>
          <w:lang w:val="fr-FR"/>
        </w:rPr>
      </w:pPr>
    </w:p>
    <w:p w14:paraId="2C89CF91" w14:textId="77777777" w:rsidR="00D52372" w:rsidRPr="00B93437" w:rsidRDefault="00D52372" w:rsidP="00B93437">
      <w:pPr>
        <w:pStyle w:val="ECVSectionBullet"/>
        <w:spacing w:line="276" w:lineRule="auto"/>
        <w:ind w:left="113"/>
        <w:jc w:val="both"/>
        <w:rPr>
          <w:sz w:val="22"/>
          <w:szCs w:val="22"/>
          <w:lang w:val="fr-FR"/>
        </w:rPr>
      </w:pPr>
      <w:r w:rsidRPr="00B93437">
        <w:rPr>
          <w:sz w:val="22"/>
          <w:szCs w:val="22"/>
          <w:lang w:val="fr-FR"/>
        </w:rPr>
        <w:t xml:space="preserve">Commentaire sur le livre de </w:t>
      </w:r>
      <w:r w:rsidRPr="00B93437">
        <w:rPr>
          <w:i/>
          <w:sz w:val="22"/>
          <w:szCs w:val="22"/>
          <w:lang w:val="fr-FR"/>
        </w:rPr>
        <w:t>Il. Kouvaras</w:t>
      </w:r>
      <w:r w:rsidRPr="00B93437">
        <w:rPr>
          <w:sz w:val="22"/>
          <w:szCs w:val="22"/>
          <w:lang w:val="fr-FR"/>
        </w:rPr>
        <w:t xml:space="preserve">, L’application des décisions de la justice administrative par l’Administration : contribution à l’efficacité de la justice administrative, Nomiki Bibliothiki, 2015 (Théorie et Praxis du Droit administratif, 5/2016, p. 518-520) </w:t>
      </w:r>
    </w:p>
    <w:p w14:paraId="3DECB322" w14:textId="77777777" w:rsidR="00D52372" w:rsidRPr="00B93437" w:rsidRDefault="00D52372" w:rsidP="00B93437">
      <w:pPr>
        <w:pStyle w:val="ECVSectionBullet"/>
        <w:spacing w:line="276" w:lineRule="auto"/>
        <w:ind w:left="113"/>
        <w:jc w:val="both"/>
        <w:rPr>
          <w:sz w:val="22"/>
          <w:szCs w:val="22"/>
          <w:lang w:val="fr-FR"/>
        </w:rPr>
      </w:pPr>
    </w:p>
    <w:p w14:paraId="3CA107CD" w14:textId="77777777" w:rsidR="00D52372" w:rsidRPr="00B93437" w:rsidRDefault="00D52372" w:rsidP="00B93437">
      <w:pPr>
        <w:pStyle w:val="ECVSectionBullet"/>
        <w:spacing w:line="276" w:lineRule="auto"/>
        <w:ind w:left="113"/>
        <w:jc w:val="both"/>
        <w:rPr>
          <w:sz w:val="22"/>
          <w:szCs w:val="22"/>
          <w:lang w:val="fr-FR"/>
        </w:rPr>
      </w:pPr>
      <w:r w:rsidRPr="00B93437">
        <w:rPr>
          <w:sz w:val="22"/>
          <w:szCs w:val="22"/>
          <w:lang w:val="fr-FR"/>
        </w:rPr>
        <w:t xml:space="preserve">Commentaire sur le livre de </w:t>
      </w:r>
      <w:r w:rsidRPr="00B93437">
        <w:rPr>
          <w:i/>
          <w:sz w:val="22"/>
          <w:szCs w:val="22"/>
          <w:lang w:val="fr-FR"/>
        </w:rPr>
        <w:t>D. Pyrgakis</w:t>
      </w:r>
      <w:r w:rsidRPr="00B93437">
        <w:rPr>
          <w:sz w:val="22"/>
          <w:szCs w:val="22"/>
          <w:lang w:val="fr-FR"/>
        </w:rPr>
        <w:t>, L’intérêt à agir dans le procès devant le Conseil d’Etat, Nomiki Bibliothiki, 2017 (Théorie et Praxis du Droit administratif, 5/2017, p. 490-492)</w:t>
      </w:r>
    </w:p>
    <w:p w14:paraId="08B52542" w14:textId="77777777" w:rsidR="00D52372" w:rsidRPr="00B93437" w:rsidRDefault="00D52372" w:rsidP="00B93437">
      <w:pPr>
        <w:pStyle w:val="ECVSectionBullet"/>
        <w:spacing w:line="276" w:lineRule="auto"/>
        <w:ind w:left="113"/>
        <w:jc w:val="both"/>
        <w:rPr>
          <w:sz w:val="22"/>
          <w:szCs w:val="22"/>
          <w:lang w:val="fr-FR"/>
        </w:rPr>
      </w:pPr>
    </w:p>
    <w:p w14:paraId="28630A07" w14:textId="77777777" w:rsidR="00D52372" w:rsidRPr="00B93437" w:rsidRDefault="00D52372" w:rsidP="00B93437">
      <w:pPr>
        <w:pStyle w:val="ECVSectionBullet"/>
        <w:spacing w:line="276" w:lineRule="auto"/>
        <w:ind w:left="113"/>
        <w:jc w:val="both"/>
        <w:rPr>
          <w:sz w:val="22"/>
          <w:szCs w:val="22"/>
          <w:lang w:val="fr-FR"/>
        </w:rPr>
      </w:pPr>
      <w:r w:rsidRPr="00B93437">
        <w:rPr>
          <w:sz w:val="22"/>
          <w:szCs w:val="22"/>
          <w:lang w:val="fr-FR"/>
        </w:rPr>
        <w:t xml:space="preserve">Commentaire sur le livre de </w:t>
      </w:r>
      <w:r w:rsidRPr="00B93437">
        <w:rPr>
          <w:i/>
          <w:sz w:val="22"/>
          <w:szCs w:val="22"/>
          <w:lang w:val="fr-FR"/>
        </w:rPr>
        <w:t>D. Lentzis</w:t>
      </w:r>
      <w:r w:rsidRPr="00B93437">
        <w:rPr>
          <w:sz w:val="22"/>
          <w:szCs w:val="22"/>
          <w:lang w:val="fr-FR"/>
        </w:rPr>
        <w:t>, La libre circulation des citoyens Européens, Editions Sakkoulas, 2017 (Théorie et Praxis du Droit administratif, 8-9/2018, p. 880-882)</w:t>
      </w:r>
    </w:p>
    <w:p w14:paraId="7A847918" w14:textId="77777777" w:rsidR="00D52372" w:rsidRPr="00B93437" w:rsidRDefault="00D52372" w:rsidP="00B93437">
      <w:pPr>
        <w:pStyle w:val="ECVSectionBullet"/>
        <w:spacing w:line="276" w:lineRule="auto"/>
        <w:ind w:left="113"/>
        <w:jc w:val="both"/>
        <w:rPr>
          <w:sz w:val="22"/>
          <w:szCs w:val="22"/>
          <w:lang w:val="fr-FR"/>
        </w:rPr>
      </w:pPr>
    </w:p>
    <w:p w14:paraId="472683A8" w14:textId="77777777" w:rsidR="00D52372" w:rsidRPr="00B93437" w:rsidRDefault="00D52372" w:rsidP="00B93437">
      <w:pPr>
        <w:pStyle w:val="ECVSectionBullet"/>
        <w:spacing w:line="276" w:lineRule="auto"/>
        <w:ind w:left="113"/>
        <w:jc w:val="both"/>
        <w:rPr>
          <w:color w:val="000000" w:themeColor="text1"/>
          <w:sz w:val="22"/>
          <w:szCs w:val="22"/>
          <w:shd w:val="clear" w:color="auto" w:fill="FFFFFF"/>
          <w:lang w:val="fr-FR"/>
        </w:rPr>
      </w:pPr>
      <w:r w:rsidRPr="00B93437">
        <w:rPr>
          <w:sz w:val="22"/>
          <w:szCs w:val="22"/>
          <w:lang w:val="fr-FR"/>
        </w:rPr>
        <w:t xml:space="preserve">Commentaire sur le livre de </w:t>
      </w:r>
      <w:r w:rsidRPr="00B93437">
        <w:rPr>
          <w:i/>
          <w:color w:val="000000" w:themeColor="text1"/>
          <w:sz w:val="22"/>
          <w:szCs w:val="22"/>
          <w:shd w:val="clear" w:color="auto" w:fill="FFFFFF"/>
        </w:rPr>
        <w:t>Ν</w:t>
      </w:r>
      <w:r w:rsidRPr="00B93437">
        <w:rPr>
          <w:i/>
          <w:color w:val="000000" w:themeColor="text1"/>
          <w:sz w:val="22"/>
          <w:szCs w:val="22"/>
          <w:shd w:val="clear" w:color="auto" w:fill="FFFFFF"/>
          <w:lang w:val="fr-FR"/>
        </w:rPr>
        <w:t>. Simantiras</w:t>
      </w:r>
      <w:r w:rsidRPr="00B93437">
        <w:rPr>
          <w:color w:val="000000" w:themeColor="text1"/>
          <w:sz w:val="22"/>
          <w:szCs w:val="22"/>
          <w:shd w:val="clear" w:color="auto" w:fill="FFFFFF"/>
          <w:lang w:val="fr-FR"/>
        </w:rPr>
        <w:t xml:space="preserve">, Netzwerke im europäischen Verwaltungsverbund, Mohr Siebeck, 2016 </w:t>
      </w:r>
      <w:r w:rsidRPr="00B93437">
        <w:rPr>
          <w:sz w:val="22"/>
          <w:szCs w:val="22"/>
          <w:lang w:val="fr-FR"/>
        </w:rPr>
        <w:t xml:space="preserve">(Théorie et Praxis du Droit administratif, 10/2018, p. </w:t>
      </w:r>
      <w:r w:rsidRPr="00B93437">
        <w:rPr>
          <w:color w:val="000000" w:themeColor="text1"/>
          <w:sz w:val="22"/>
          <w:szCs w:val="22"/>
          <w:shd w:val="clear" w:color="auto" w:fill="FFFFFF"/>
          <w:lang w:val="fr-FR"/>
        </w:rPr>
        <w:t>971-976)</w:t>
      </w:r>
    </w:p>
    <w:p w14:paraId="2B959A20" w14:textId="77777777" w:rsidR="00D52372" w:rsidRPr="00B93437" w:rsidRDefault="00D52372" w:rsidP="00B93437">
      <w:pPr>
        <w:pStyle w:val="ECVSectionBullet"/>
        <w:spacing w:line="276" w:lineRule="auto"/>
        <w:ind w:left="113"/>
        <w:jc w:val="both"/>
        <w:rPr>
          <w:sz w:val="22"/>
          <w:szCs w:val="22"/>
          <w:lang w:val="fr-FR"/>
        </w:rPr>
      </w:pPr>
    </w:p>
    <w:p w14:paraId="25468C27" w14:textId="77777777" w:rsidR="00D52372" w:rsidRPr="00B93437" w:rsidRDefault="00D52372" w:rsidP="00B93437">
      <w:pPr>
        <w:pStyle w:val="ECVSectionBullet"/>
        <w:spacing w:line="276" w:lineRule="auto"/>
        <w:ind w:left="113"/>
        <w:jc w:val="both"/>
        <w:rPr>
          <w:color w:val="000000" w:themeColor="text1"/>
          <w:sz w:val="22"/>
          <w:szCs w:val="22"/>
          <w:shd w:val="clear" w:color="auto" w:fill="FFFFFF"/>
          <w:lang w:val="fr-FR"/>
        </w:rPr>
      </w:pPr>
      <w:r w:rsidRPr="00B93437">
        <w:rPr>
          <w:sz w:val="22"/>
          <w:szCs w:val="22"/>
          <w:lang w:val="fr-FR"/>
        </w:rPr>
        <w:t xml:space="preserve">Commentaire sur le livre de </w:t>
      </w:r>
      <w:r w:rsidRPr="00B93437">
        <w:rPr>
          <w:i/>
          <w:sz w:val="22"/>
          <w:szCs w:val="22"/>
          <w:lang w:val="fr-FR"/>
        </w:rPr>
        <w:t>G. Giannakourou</w:t>
      </w:r>
      <w:r w:rsidRPr="00B93437">
        <w:rPr>
          <w:sz w:val="22"/>
          <w:szCs w:val="22"/>
          <w:lang w:val="fr-FR"/>
        </w:rPr>
        <w:t>, Droit de l’Aménagement du Territoire et de l’Urbanisme, Nomiki Bibliothiki, 2019 (Théorie et Praxis du Droit administratif, 12/2019, p. 1238</w:t>
      </w:r>
      <w:r w:rsidRPr="00B93437">
        <w:rPr>
          <w:color w:val="000000" w:themeColor="text1"/>
          <w:sz w:val="22"/>
          <w:szCs w:val="22"/>
          <w:shd w:val="clear" w:color="auto" w:fill="FFFFFF"/>
          <w:lang w:val="fr-FR"/>
        </w:rPr>
        <w:t>-1240)</w:t>
      </w:r>
    </w:p>
    <w:p w14:paraId="1E7B756F" w14:textId="77777777" w:rsidR="00D52372" w:rsidRPr="00B93437" w:rsidRDefault="00D52372" w:rsidP="00B93437">
      <w:pPr>
        <w:pStyle w:val="ECVSectionBullet"/>
        <w:spacing w:line="276" w:lineRule="auto"/>
        <w:ind w:left="113"/>
        <w:jc w:val="both"/>
        <w:rPr>
          <w:sz w:val="22"/>
          <w:szCs w:val="22"/>
          <w:lang w:val="fr-FR"/>
        </w:rPr>
      </w:pPr>
    </w:p>
    <w:p w14:paraId="0154DED2" w14:textId="77777777" w:rsidR="00D52372" w:rsidRPr="00B93437" w:rsidRDefault="00D52372" w:rsidP="00B93437">
      <w:pPr>
        <w:pStyle w:val="ECVSectionBullet"/>
        <w:spacing w:line="276" w:lineRule="auto"/>
        <w:ind w:left="113"/>
        <w:jc w:val="both"/>
        <w:rPr>
          <w:color w:val="000000" w:themeColor="text1"/>
          <w:sz w:val="22"/>
          <w:szCs w:val="22"/>
          <w:lang w:val="fr-FR"/>
        </w:rPr>
      </w:pPr>
      <w:r w:rsidRPr="00B93437">
        <w:rPr>
          <w:sz w:val="22"/>
          <w:szCs w:val="22"/>
          <w:lang w:val="fr-FR"/>
        </w:rPr>
        <w:t xml:space="preserve">Commentaire sur le livre de </w:t>
      </w:r>
      <w:r w:rsidRPr="00B93437">
        <w:rPr>
          <w:i/>
          <w:color w:val="000000" w:themeColor="text1"/>
          <w:sz w:val="22"/>
          <w:szCs w:val="22"/>
        </w:rPr>
        <w:t>Ν</w:t>
      </w:r>
      <w:r w:rsidRPr="00B93437">
        <w:rPr>
          <w:i/>
          <w:color w:val="000000" w:themeColor="text1"/>
          <w:sz w:val="22"/>
          <w:szCs w:val="22"/>
          <w:lang w:val="fr-FR"/>
        </w:rPr>
        <w:t>. Athanasiadou</w:t>
      </w:r>
      <w:r w:rsidRPr="00B93437">
        <w:rPr>
          <w:color w:val="000000" w:themeColor="text1"/>
          <w:sz w:val="22"/>
          <w:szCs w:val="22"/>
          <w:lang w:val="fr-FR"/>
        </w:rPr>
        <w:t xml:space="preserve">, Der Verwaltungsvertrag in EU-Recht, Mohr Siebeck, 2017 </w:t>
      </w:r>
      <w:r w:rsidRPr="00B93437">
        <w:rPr>
          <w:sz w:val="22"/>
          <w:szCs w:val="22"/>
          <w:lang w:val="fr-FR"/>
        </w:rPr>
        <w:t>2019 (Théorie et Praxis du Droit administratif, 12/2020, p. 1</w:t>
      </w:r>
      <w:r w:rsidRPr="00B93437">
        <w:rPr>
          <w:color w:val="000000" w:themeColor="text1"/>
          <w:sz w:val="22"/>
          <w:szCs w:val="22"/>
          <w:lang w:val="fr-FR"/>
        </w:rPr>
        <w:t>215-1219)</w:t>
      </w:r>
    </w:p>
    <w:p w14:paraId="2FF4DA4F" w14:textId="77777777" w:rsidR="00D52372" w:rsidRPr="00B93437" w:rsidRDefault="00D52372" w:rsidP="00B93437">
      <w:pPr>
        <w:pStyle w:val="ECVSectionBullet"/>
        <w:spacing w:line="276" w:lineRule="auto"/>
        <w:ind w:left="113"/>
        <w:jc w:val="both"/>
        <w:rPr>
          <w:sz w:val="22"/>
          <w:szCs w:val="22"/>
          <w:lang w:val="fr-FR"/>
        </w:rPr>
      </w:pPr>
    </w:p>
    <w:p w14:paraId="3B1211B8" w14:textId="77777777" w:rsidR="00D744E0" w:rsidRDefault="00D52372" w:rsidP="00D744E0">
      <w:pPr>
        <w:pStyle w:val="ECVSectionBullet"/>
        <w:spacing w:line="276" w:lineRule="auto"/>
        <w:ind w:left="113"/>
        <w:jc w:val="both"/>
        <w:rPr>
          <w:color w:val="000000" w:themeColor="text1"/>
          <w:sz w:val="22"/>
          <w:szCs w:val="22"/>
          <w:shd w:val="clear" w:color="auto" w:fill="FFFFFF"/>
          <w:lang w:val="fr-FR"/>
        </w:rPr>
      </w:pPr>
      <w:r w:rsidRPr="00B93437">
        <w:rPr>
          <w:sz w:val="22"/>
          <w:szCs w:val="22"/>
          <w:lang w:val="fr-FR"/>
        </w:rPr>
        <w:t xml:space="preserve">Commentaire sur le livre de </w:t>
      </w:r>
      <w:r w:rsidRPr="00B93437">
        <w:rPr>
          <w:i/>
          <w:sz w:val="22"/>
          <w:szCs w:val="22"/>
          <w:lang w:val="fr-FR"/>
        </w:rPr>
        <w:t>Il. Kouvaras</w:t>
      </w:r>
      <w:r w:rsidRPr="00B93437">
        <w:rPr>
          <w:sz w:val="22"/>
          <w:szCs w:val="22"/>
          <w:lang w:val="fr-FR"/>
        </w:rPr>
        <w:t>, Les conséquences de la décision juridictionnelle en tant que fondement du syllogisme juridique, Nomiki Bibliothiki, 2020 (Théorie et Praxis du Droit administratif, 2/2021, p. 272</w:t>
      </w:r>
      <w:r w:rsidRPr="00B93437">
        <w:rPr>
          <w:color w:val="000000" w:themeColor="text1"/>
          <w:sz w:val="22"/>
          <w:szCs w:val="22"/>
          <w:shd w:val="clear" w:color="auto" w:fill="FFFFFF"/>
          <w:lang w:val="fr-FR"/>
        </w:rPr>
        <w:t>-276)</w:t>
      </w:r>
    </w:p>
    <w:p w14:paraId="5F1F05CE" w14:textId="77777777" w:rsidR="00D744E0" w:rsidRDefault="00D744E0" w:rsidP="00D744E0">
      <w:pPr>
        <w:pStyle w:val="ECVSectionBullet"/>
        <w:spacing w:line="276" w:lineRule="auto"/>
        <w:ind w:left="113"/>
        <w:jc w:val="both"/>
        <w:rPr>
          <w:color w:val="000000" w:themeColor="text1"/>
          <w:sz w:val="22"/>
          <w:szCs w:val="22"/>
          <w:shd w:val="clear" w:color="auto" w:fill="FFFFFF"/>
          <w:lang w:val="fr-FR"/>
        </w:rPr>
      </w:pPr>
    </w:p>
    <w:p w14:paraId="4BEE5A23" w14:textId="3F3E9676" w:rsidR="00D744E0" w:rsidRPr="00D744E0" w:rsidRDefault="00D744E0" w:rsidP="00D744E0">
      <w:pPr>
        <w:pStyle w:val="ECVSectionBullet"/>
        <w:spacing w:line="276" w:lineRule="auto"/>
        <w:ind w:left="113"/>
        <w:jc w:val="both"/>
        <w:rPr>
          <w:color w:val="000000" w:themeColor="text1"/>
          <w:sz w:val="22"/>
          <w:szCs w:val="22"/>
          <w:shd w:val="clear" w:color="auto" w:fill="FFFFFF"/>
          <w:lang w:val="fr-FR"/>
        </w:rPr>
      </w:pPr>
      <w:r>
        <w:rPr>
          <w:color w:val="000000" w:themeColor="text1"/>
          <w:sz w:val="22"/>
          <w:szCs w:val="22"/>
          <w:shd w:val="clear" w:color="auto" w:fill="FFFFFF"/>
          <w:lang w:val="fr-FR"/>
        </w:rPr>
        <w:t xml:space="preserve">Commentaire (avec I. Michalis) sur </w:t>
      </w:r>
      <w:r w:rsidRPr="008A1711">
        <w:rPr>
          <w:i/>
          <w:iCs/>
          <w:sz w:val="22"/>
          <w:szCs w:val="22"/>
          <w:lang w:val="fr-FR"/>
        </w:rPr>
        <w:t>W. Kahl, M. Ludwigs (dir.)</w:t>
      </w:r>
      <w:r w:rsidRPr="008A1711">
        <w:rPr>
          <w:sz w:val="22"/>
          <w:szCs w:val="22"/>
          <w:lang w:val="fr-FR"/>
        </w:rPr>
        <w:t>, Handbuch des Verwaltungsrechts, Munich, C. F. Müller, t. 1 : 2021, 1342 p. ; t. 2 : 2021, 1224 p. ; t. 3 : 2022, 1551 p. ; t. 4 : 2022, 1358 p. ; t. 5 : 2023, 1627 p. ; t. 6 à 12 à venir , in RFDA 4/2023, p.</w:t>
      </w:r>
      <w:r w:rsidRPr="008A1711">
        <w:rPr>
          <w:b/>
          <w:bCs/>
          <w:sz w:val="22"/>
          <w:szCs w:val="22"/>
          <w:lang w:val="fr-FR"/>
        </w:rPr>
        <w:t xml:space="preserve"> </w:t>
      </w:r>
      <w:r w:rsidRPr="008A1711">
        <w:rPr>
          <w:sz w:val="22"/>
          <w:szCs w:val="22"/>
          <w:lang w:val="fr-FR"/>
        </w:rPr>
        <w:t>788</w:t>
      </w:r>
    </w:p>
    <w:p w14:paraId="440F1BEF" w14:textId="1204CC0E" w:rsidR="00D744E0" w:rsidRDefault="00D744E0" w:rsidP="00B93437">
      <w:pPr>
        <w:pStyle w:val="ECVSectionBullet"/>
        <w:spacing w:line="276" w:lineRule="auto"/>
        <w:ind w:left="113"/>
        <w:jc w:val="both"/>
        <w:rPr>
          <w:color w:val="000000" w:themeColor="text1"/>
          <w:sz w:val="22"/>
          <w:szCs w:val="22"/>
          <w:shd w:val="clear" w:color="auto" w:fill="FFFFFF"/>
          <w:lang w:val="fr-FR"/>
        </w:rPr>
      </w:pPr>
      <w:r>
        <w:rPr>
          <w:color w:val="000000" w:themeColor="text1"/>
          <w:sz w:val="22"/>
          <w:szCs w:val="22"/>
          <w:shd w:val="clear" w:color="auto" w:fill="FFFFFF"/>
          <w:lang w:val="fr-FR"/>
        </w:rPr>
        <w:t xml:space="preserve"> </w:t>
      </w:r>
    </w:p>
    <w:p w14:paraId="2C8226CE" w14:textId="77777777" w:rsidR="00E70326" w:rsidRDefault="00E70326" w:rsidP="00B93437">
      <w:pPr>
        <w:pStyle w:val="ECVSectionBullet"/>
        <w:spacing w:line="276" w:lineRule="auto"/>
        <w:ind w:left="113"/>
        <w:jc w:val="both"/>
        <w:rPr>
          <w:color w:val="000000" w:themeColor="text1"/>
          <w:sz w:val="22"/>
          <w:szCs w:val="22"/>
          <w:shd w:val="clear" w:color="auto" w:fill="FFFFFF"/>
          <w:lang w:val="fr-FR"/>
        </w:rPr>
      </w:pPr>
    </w:p>
    <w:p w14:paraId="181767BB" w14:textId="77777777" w:rsidR="00E70326" w:rsidRPr="00B93437" w:rsidRDefault="00E70326" w:rsidP="00B93437">
      <w:pPr>
        <w:pStyle w:val="ECVSectionBullet"/>
        <w:spacing w:line="276" w:lineRule="auto"/>
        <w:ind w:left="113"/>
        <w:jc w:val="both"/>
        <w:rPr>
          <w:sz w:val="22"/>
          <w:szCs w:val="22"/>
          <w:lang w:val="fr-FR"/>
        </w:rPr>
      </w:pPr>
    </w:p>
    <w:p w14:paraId="7A53A13C" w14:textId="77777777" w:rsidR="00D52372" w:rsidRPr="00B93437" w:rsidRDefault="00D52372" w:rsidP="00B93437">
      <w:pPr>
        <w:spacing w:line="276" w:lineRule="auto"/>
        <w:rPr>
          <w:rFonts w:ascii="Times New Roman" w:hAnsi="Times New Roman" w:cs="Times New Roman"/>
          <w:sz w:val="22"/>
          <w:szCs w:val="22"/>
          <w:lang w:val="fr-FR"/>
        </w:rPr>
      </w:pPr>
    </w:p>
    <w:sectPr w:rsidR="00D52372" w:rsidRPr="00B93437">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364C8" w14:textId="77777777" w:rsidR="009468F9" w:rsidRDefault="009468F9" w:rsidP="00D52372">
      <w:r>
        <w:separator/>
      </w:r>
    </w:p>
  </w:endnote>
  <w:endnote w:type="continuationSeparator" w:id="0">
    <w:p w14:paraId="0A013187" w14:textId="77777777" w:rsidR="009468F9" w:rsidRDefault="009468F9" w:rsidP="00D5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99578349"/>
      <w:docPartObj>
        <w:docPartGallery w:val="Page Numbers (Bottom of Page)"/>
        <w:docPartUnique/>
      </w:docPartObj>
    </w:sdtPr>
    <w:sdtEndPr>
      <w:rPr>
        <w:rStyle w:val="Numrodepage"/>
      </w:rPr>
    </w:sdtEndPr>
    <w:sdtContent>
      <w:p w14:paraId="2ECDF5D4" w14:textId="77777777" w:rsidR="00D52372" w:rsidRDefault="00D52372" w:rsidP="00B4357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E5CA134" w14:textId="77777777" w:rsidR="00D52372" w:rsidRDefault="00D523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324559346"/>
      <w:docPartObj>
        <w:docPartGallery w:val="Page Numbers (Bottom of Page)"/>
        <w:docPartUnique/>
      </w:docPartObj>
    </w:sdtPr>
    <w:sdtEndPr>
      <w:rPr>
        <w:rStyle w:val="Numrodepage"/>
      </w:rPr>
    </w:sdtEndPr>
    <w:sdtContent>
      <w:p w14:paraId="6AEB30DA" w14:textId="2B27B5D5" w:rsidR="00D52372" w:rsidRDefault="00D52372" w:rsidP="00B4357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8A1711">
          <w:rPr>
            <w:rStyle w:val="Numrodepage"/>
            <w:noProof/>
          </w:rPr>
          <w:t>1</w:t>
        </w:r>
        <w:r>
          <w:rPr>
            <w:rStyle w:val="Numrodepage"/>
          </w:rPr>
          <w:fldChar w:fldCharType="end"/>
        </w:r>
      </w:p>
    </w:sdtContent>
  </w:sdt>
  <w:p w14:paraId="5BBE1687" w14:textId="77777777" w:rsidR="00D52372" w:rsidRDefault="00D523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77CF0" w14:textId="77777777" w:rsidR="009468F9" w:rsidRDefault="009468F9" w:rsidP="00D52372">
      <w:r>
        <w:separator/>
      </w:r>
    </w:p>
  </w:footnote>
  <w:footnote w:type="continuationSeparator" w:id="0">
    <w:p w14:paraId="32080C86" w14:textId="77777777" w:rsidR="009468F9" w:rsidRDefault="009468F9" w:rsidP="00D5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re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16530BE"/>
    <w:multiLevelType w:val="hybridMultilevel"/>
    <w:tmpl w:val="5456DA4E"/>
    <w:lvl w:ilvl="0" w:tplc="ABF684C0">
      <w:start w:val="1"/>
      <w:numFmt w:val="decimal"/>
      <w:lvlText w:val="%1)"/>
      <w:lvlJc w:val="left"/>
      <w:pPr>
        <w:ind w:left="473" w:hanging="36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3" w15:restartNumberingAfterBreak="0">
    <w:nsid w:val="03323A6B"/>
    <w:multiLevelType w:val="hybridMultilevel"/>
    <w:tmpl w:val="599E93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3672321"/>
    <w:multiLevelType w:val="hybridMultilevel"/>
    <w:tmpl w:val="8646C0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4F84BB0"/>
    <w:multiLevelType w:val="hybridMultilevel"/>
    <w:tmpl w:val="099C18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E4168C"/>
    <w:multiLevelType w:val="hybridMultilevel"/>
    <w:tmpl w:val="9D429572"/>
    <w:lvl w:ilvl="0" w:tplc="4AC49BC0">
      <w:start w:val="1"/>
      <w:numFmt w:val="decimal"/>
      <w:lvlText w:val="%1."/>
      <w:lvlJc w:val="left"/>
      <w:pPr>
        <w:ind w:left="473" w:hanging="36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7" w15:restartNumberingAfterBreak="0">
    <w:nsid w:val="0BBB2F1E"/>
    <w:multiLevelType w:val="hybridMultilevel"/>
    <w:tmpl w:val="0DAE3FC6"/>
    <w:lvl w:ilvl="0" w:tplc="F8125430">
      <w:start w:val="1"/>
      <w:numFmt w:val="upperRoman"/>
      <w:lvlText w:val="%1."/>
      <w:lvlJc w:val="left"/>
      <w:pPr>
        <w:ind w:left="833" w:hanging="72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8" w15:restartNumberingAfterBreak="0">
    <w:nsid w:val="0C9030E7"/>
    <w:multiLevelType w:val="multilevel"/>
    <w:tmpl w:val="AB8A5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650AF"/>
    <w:multiLevelType w:val="hybridMultilevel"/>
    <w:tmpl w:val="B3FC55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CA19C2"/>
    <w:multiLevelType w:val="hybridMultilevel"/>
    <w:tmpl w:val="9B9ACD98"/>
    <w:lvl w:ilvl="0" w:tplc="29D8B71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E803280"/>
    <w:multiLevelType w:val="hybridMultilevel"/>
    <w:tmpl w:val="4BFEB7D4"/>
    <w:lvl w:ilvl="0" w:tplc="D840AA36">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68238A"/>
    <w:multiLevelType w:val="multilevel"/>
    <w:tmpl w:val="9D429572"/>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3" w15:restartNumberingAfterBreak="0">
    <w:nsid w:val="48AB1A51"/>
    <w:multiLevelType w:val="hybridMultilevel"/>
    <w:tmpl w:val="B76663C2"/>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55026336"/>
    <w:multiLevelType w:val="hybridMultilevel"/>
    <w:tmpl w:val="D92AC89A"/>
    <w:lvl w:ilvl="0" w:tplc="AE58168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00D0BD4"/>
    <w:multiLevelType w:val="hybridMultilevel"/>
    <w:tmpl w:val="8F52ADD2"/>
    <w:lvl w:ilvl="0" w:tplc="A860E8E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C877C4"/>
    <w:multiLevelType w:val="hybridMultilevel"/>
    <w:tmpl w:val="C95C7B74"/>
    <w:lvl w:ilvl="0" w:tplc="D6366CEA">
      <w:numFmt w:val="bullet"/>
      <w:lvlText w:val="-"/>
      <w:lvlJc w:val="left"/>
      <w:pPr>
        <w:ind w:left="720" w:hanging="360"/>
      </w:pPr>
      <w:rPr>
        <w:rFonts w:ascii="Arial" w:eastAsia="ArialMT"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40135D7"/>
    <w:multiLevelType w:val="hybridMultilevel"/>
    <w:tmpl w:val="5D5AB460"/>
    <w:lvl w:ilvl="0" w:tplc="E76EF59E">
      <w:start w:val="4"/>
      <w:numFmt w:val="bullet"/>
      <w:lvlText w:val=""/>
      <w:lvlJc w:val="left"/>
      <w:pPr>
        <w:ind w:left="1140" w:hanging="360"/>
      </w:pPr>
      <w:rPr>
        <w:rFonts w:ascii="Wingdings" w:eastAsia="Times New Roman" w:hAnsi="Wingdings" w:cs="Aria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8" w15:restartNumberingAfterBreak="0">
    <w:nsid w:val="69204843"/>
    <w:multiLevelType w:val="multilevel"/>
    <w:tmpl w:val="F142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51F85"/>
    <w:multiLevelType w:val="multilevel"/>
    <w:tmpl w:val="B6F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11423"/>
    <w:multiLevelType w:val="multilevel"/>
    <w:tmpl w:val="69C662F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4"/>
  </w:num>
  <w:num w:numId="2">
    <w:abstractNumId w:val="10"/>
  </w:num>
  <w:num w:numId="3">
    <w:abstractNumId w:val="15"/>
  </w:num>
  <w:num w:numId="4">
    <w:abstractNumId w:val="0"/>
  </w:num>
  <w:num w:numId="5">
    <w:abstractNumId w:val="1"/>
  </w:num>
  <w:num w:numId="6">
    <w:abstractNumId w:val="18"/>
  </w:num>
  <w:num w:numId="7">
    <w:abstractNumId w:val="3"/>
  </w:num>
  <w:num w:numId="8">
    <w:abstractNumId w:val="11"/>
  </w:num>
  <w:num w:numId="9">
    <w:abstractNumId w:val="7"/>
  </w:num>
  <w:num w:numId="10">
    <w:abstractNumId w:val="8"/>
  </w:num>
  <w:num w:numId="11">
    <w:abstractNumId w:val="5"/>
  </w:num>
  <w:num w:numId="12">
    <w:abstractNumId w:val="20"/>
  </w:num>
  <w:num w:numId="13">
    <w:abstractNumId w:val="6"/>
  </w:num>
  <w:num w:numId="14">
    <w:abstractNumId w:val="19"/>
  </w:num>
  <w:num w:numId="15">
    <w:abstractNumId w:val="16"/>
  </w:num>
  <w:num w:numId="16">
    <w:abstractNumId w:val="13"/>
  </w:num>
  <w:num w:numId="17">
    <w:abstractNumId w:val="2"/>
  </w:num>
  <w:num w:numId="18">
    <w:abstractNumId w:val="9"/>
  </w:num>
  <w:num w:numId="19">
    <w:abstractNumId w:val="4"/>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72"/>
    <w:rsid w:val="00042832"/>
    <w:rsid w:val="00175707"/>
    <w:rsid w:val="002C4607"/>
    <w:rsid w:val="005A1A52"/>
    <w:rsid w:val="007B3734"/>
    <w:rsid w:val="008A1711"/>
    <w:rsid w:val="009468F9"/>
    <w:rsid w:val="00B93437"/>
    <w:rsid w:val="00CE54AB"/>
    <w:rsid w:val="00D52372"/>
    <w:rsid w:val="00D744E0"/>
    <w:rsid w:val="00DD6DD1"/>
    <w:rsid w:val="00E703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07FE"/>
  <w15:chartTrackingRefBased/>
  <w15:docId w15:val="{988A2DE5-0D18-E741-B1F4-157B8F9F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next w:val="Corpsdetexte"/>
    <w:link w:val="Titre1Car"/>
    <w:qFormat/>
    <w:rsid w:val="00D52372"/>
    <w:pPr>
      <w:outlineLvl w:val="0"/>
    </w:pPr>
    <w:rPr>
      <w:b/>
      <w:bCs/>
      <w:sz w:val="32"/>
      <w:szCs w:val="32"/>
    </w:rPr>
  </w:style>
  <w:style w:type="paragraph" w:styleId="Titre2">
    <w:name w:val="heading 2"/>
    <w:basedOn w:val="Heading"/>
    <w:next w:val="Corpsdetexte"/>
    <w:link w:val="Titre2Car"/>
    <w:qFormat/>
    <w:rsid w:val="00D52372"/>
    <w:pPr>
      <w:numPr>
        <w:ilvl w:val="1"/>
        <w:numId w:val="4"/>
      </w:numPr>
      <w:outlineLvl w:val="1"/>
    </w:pPr>
    <w:rPr>
      <w:b/>
      <w:bCs/>
      <w:i/>
      <w:iCs/>
    </w:rPr>
  </w:style>
  <w:style w:type="paragraph" w:styleId="Titre3">
    <w:name w:val="heading 3"/>
    <w:basedOn w:val="Normal"/>
    <w:next w:val="Normal"/>
    <w:link w:val="Titre3Car"/>
    <w:uiPriority w:val="9"/>
    <w:semiHidden/>
    <w:unhideWhenUsed/>
    <w:qFormat/>
    <w:rsid w:val="00D52372"/>
    <w:pPr>
      <w:keepNext/>
      <w:keepLines/>
      <w:spacing w:before="40"/>
      <w:outlineLvl w:val="2"/>
    </w:pPr>
    <w:rPr>
      <w:rFonts w:asciiTheme="majorHAnsi" w:eastAsiaTheme="majorEastAsia" w:hAnsiTheme="majorHAnsi" w:cstheme="majorBidi"/>
      <w:color w:val="1F3763" w:themeColor="accent1" w:themeShade="7F"/>
      <w:kern w:val="0"/>
      <w:lang w:eastAsia="el-G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VSubSectionHeading">
    <w:name w:val="_ECV_SubSectionHeading"/>
    <w:basedOn w:val="Normal"/>
    <w:rsid w:val="00D52372"/>
    <w:pPr>
      <w:suppressLineNumbers/>
      <w:spacing w:line="100" w:lineRule="atLeast"/>
    </w:pPr>
    <w:rPr>
      <w:rFonts w:ascii="Times New Roman" w:eastAsia="Times New Roman" w:hAnsi="Times New Roman" w:cs="Times New Roman"/>
      <w:color w:val="0E4194"/>
      <w:kern w:val="0"/>
      <w:sz w:val="22"/>
      <w:lang w:eastAsia="el-GR"/>
      <w14:ligatures w14:val="none"/>
    </w:rPr>
  </w:style>
  <w:style w:type="paragraph" w:customStyle="1" w:styleId="ECVSectionBullet">
    <w:name w:val="_ECV_SectionBullet"/>
    <w:basedOn w:val="Normal"/>
    <w:rsid w:val="00D52372"/>
    <w:pPr>
      <w:suppressLineNumbers/>
      <w:autoSpaceDE w:val="0"/>
      <w:spacing w:line="100" w:lineRule="atLeast"/>
    </w:pPr>
    <w:rPr>
      <w:rFonts w:ascii="Times New Roman" w:eastAsia="Times New Roman" w:hAnsi="Times New Roman" w:cs="Times New Roman"/>
      <w:kern w:val="0"/>
      <w:sz w:val="18"/>
      <w:lang w:eastAsia="el-GR"/>
      <w14:ligatures w14:val="none"/>
    </w:rPr>
  </w:style>
  <w:style w:type="character" w:styleId="Lienhypertexte">
    <w:name w:val="Hyperlink"/>
    <w:basedOn w:val="Policepardfaut"/>
    <w:unhideWhenUsed/>
    <w:rsid w:val="00D52372"/>
    <w:rPr>
      <w:color w:val="0563C1" w:themeColor="hyperlink"/>
      <w:u w:val="single"/>
    </w:rPr>
  </w:style>
  <w:style w:type="character" w:customStyle="1" w:styleId="UnresolvedMention">
    <w:name w:val="Unresolved Mention"/>
    <w:basedOn w:val="Policepardfaut"/>
    <w:uiPriority w:val="99"/>
    <w:semiHidden/>
    <w:unhideWhenUsed/>
    <w:rsid w:val="00D52372"/>
    <w:rPr>
      <w:color w:val="605E5C"/>
      <w:shd w:val="clear" w:color="auto" w:fill="E1DFDD"/>
    </w:rPr>
  </w:style>
  <w:style w:type="character" w:customStyle="1" w:styleId="ECVHeadingBusinessSector">
    <w:name w:val="_ECV_HeadingBusinessSector"/>
    <w:rsid w:val="00D52372"/>
    <w:rPr>
      <w:rFonts w:ascii="Arial" w:hAnsi="Arial"/>
      <w:color w:val="1593CB"/>
      <w:spacing w:val="-6"/>
      <w:sz w:val="18"/>
      <w:szCs w:val="18"/>
      <w:shd w:val="clear" w:color="auto" w:fill="auto"/>
    </w:rPr>
  </w:style>
  <w:style w:type="paragraph" w:customStyle="1" w:styleId="ECVBusinessSectorRow">
    <w:name w:val="_ECV_BusinessSectorRow"/>
    <w:basedOn w:val="Normal"/>
    <w:rsid w:val="00D52372"/>
    <w:rPr>
      <w:rFonts w:ascii="Times New Roman" w:eastAsia="Times New Roman" w:hAnsi="Times New Roman" w:cs="Times New Roman"/>
      <w:kern w:val="0"/>
      <w:lang w:eastAsia="el-GR"/>
      <w14:ligatures w14:val="none"/>
    </w:rPr>
  </w:style>
  <w:style w:type="character" w:customStyle="1" w:styleId="NumberingSymbols">
    <w:name w:val="Numbering Symbols"/>
    <w:rsid w:val="00D52372"/>
  </w:style>
  <w:style w:type="character" w:customStyle="1" w:styleId="Titre1Car">
    <w:name w:val="Titre 1 Car"/>
    <w:basedOn w:val="Policepardfaut"/>
    <w:link w:val="Titre1"/>
    <w:rsid w:val="00D52372"/>
    <w:rPr>
      <w:rFonts w:ascii="Times New Roman" w:eastAsia="Microsoft YaHei" w:hAnsi="Times New Roman" w:cs="Times New Roman"/>
      <w:b/>
      <w:bCs/>
      <w:kern w:val="0"/>
      <w:sz w:val="32"/>
      <w:szCs w:val="32"/>
      <w:lang w:eastAsia="el-GR"/>
      <w14:ligatures w14:val="none"/>
    </w:rPr>
  </w:style>
  <w:style w:type="character" w:customStyle="1" w:styleId="Titre2Car">
    <w:name w:val="Titre 2 Car"/>
    <w:basedOn w:val="Policepardfaut"/>
    <w:link w:val="Titre2"/>
    <w:rsid w:val="00D52372"/>
    <w:rPr>
      <w:rFonts w:ascii="Times New Roman" w:eastAsia="Microsoft YaHei" w:hAnsi="Times New Roman" w:cs="Times New Roman"/>
      <w:b/>
      <w:bCs/>
      <w:i/>
      <w:iCs/>
      <w:kern w:val="0"/>
      <w:sz w:val="28"/>
      <w:szCs w:val="28"/>
      <w:lang w:eastAsia="el-GR"/>
      <w14:ligatures w14:val="none"/>
    </w:rPr>
  </w:style>
  <w:style w:type="character" w:customStyle="1" w:styleId="Titre3Car">
    <w:name w:val="Titre 3 Car"/>
    <w:basedOn w:val="Policepardfaut"/>
    <w:link w:val="Titre3"/>
    <w:uiPriority w:val="9"/>
    <w:semiHidden/>
    <w:rsid w:val="00D52372"/>
    <w:rPr>
      <w:rFonts w:asciiTheme="majorHAnsi" w:eastAsiaTheme="majorEastAsia" w:hAnsiTheme="majorHAnsi" w:cstheme="majorBidi"/>
      <w:color w:val="1F3763" w:themeColor="accent1" w:themeShade="7F"/>
      <w:kern w:val="0"/>
      <w:lang w:eastAsia="el-GR"/>
      <w14:ligatures w14:val="none"/>
    </w:rPr>
  </w:style>
  <w:style w:type="character" w:customStyle="1" w:styleId="ECVHeadingContactDetails">
    <w:name w:val="_ECV_HeadingContactDetails"/>
    <w:rsid w:val="00D52372"/>
    <w:rPr>
      <w:rFonts w:ascii="Arial" w:hAnsi="Arial"/>
      <w:color w:val="1593CB"/>
      <w:sz w:val="18"/>
      <w:szCs w:val="18"/>
      <w:shd w:val="clear" w:color="auto" w:fill="auto"/>
    </w:rPr>
  </w:style>
  <w:style w:type="character" w:customStyle="1" w:styleId="ECVContactDetails">
    <w:name w:val="_ECV_ContactDetails"/>
    <w:rsid w:val="00D52372"/>
    <w:rPr>
      <w:rFonts w:ascii="Arial" w:hAnsi="Arial"/>
      <w:color w:val="3F3A38"/>
      <w:sz w:val="18"/>
      <w:szCs w:val="18"/>
      <w:shd w:val="clear" w:color="auto" w:fill="auto"/>
    </w:rPr>
  </w:style>
  <w:style w:type="character" w:customStyle="1" w:styleId="Bullets">
    <w:name w:val="Bullets"/>
    <w:rsid w:val="00D52372"/>
    <w:rPr>
      <w:rFonts w:ascii="OpenSymbol" w:eastAsia="OpenSymbol" w:hAnsi="OpenSymbol" w:cs="OpenSymbol"/>
    </w:rPr>
  </w:style>
  <w:style w:type="character" w:styleId="Numrodeligne">
    <w:name w:val="line number"/>
    <w:rsid w:val="00D52372"/>
  </w:style>
  <w:style w:type="character" w:customStyle="1" w:styleId="ECVInternetLink">
    <w:name w:val="_ECV_InternetLink"/>
    <w:rsid w:val="00D52372"/>
    <w:rPr>
      <w:rFonts w:ascii="Arial" w:hAnsi="Arial"/>
      <w:color w:val="3F3A38"/>
      <w:sz w:val="18"/>
      <w:u w:val="single"/>
      <w:shd w:val="clear" w:color="auto" w:fill="auto"/>
      <w:lang w:val="en-GB"/>
    </w:rPr>
  </w:style>
  <w:style w:type="character" w:styleId="Lienhypertextesuivivisit">
    <w:name w:val="FollowedHyperlink"/>
    <w:rsid w:val="00D52372"/>
    <w:rPr>
      <w:color w:val="800000"/>
      <w:u w:val="single"/>
    </w:rPr>
  </w:style>
  <w:style w:type="paragraph" w:customStyle="1" w:styleId="Heading">
    <w:name w:val="Heading"/>
    <w:basedOn w:val="Normal"/>
    <w:next w:val="Corpsdetexte"/>
    <w:rsid w:val="00D52372"/>
    <w:pPr>
      <w:keepNext/>
      <w:spacing w:before="240" w:after="120"/>
    </w:pPr>
    <w:rPr>
      <w:rFonts w:ascii="Times New Roman" w:eastAsia="Microsoft YaHei" w:hAnsi="Times New Roman" w:cs="Times New Roman"/>
      <w:kern w:val="0"/>
      <w:sz w:val="28"/>
      <w:szCs w:val="28"/>
      <w:lang w:eastAsia="el-GR"/>
      <w14:ligatures w14:val="none"/>
    </w:rPr>
  </w:style>
  <w:style w:type="paragraph" w:styleId="Corpsdetexte">
    <w:name w:val="Body Text"/>
    <w:basedOn w:val="Normal"/>
    <w:link w:val="CorpsdetexteCar"/>
    <w:rsid w:val="00D52372"/>
    <w:pPr>
      <w:spacing w:line="100" w:lineRule="atLeast"/>
    </w:pPr>
    <w:rPr>
      <w:rFonts w:ascii="Times New Roman" w:eastAsia="Times New Roman" w:hAnsi="Times New Roman" w:cs="Times New Roman"/>
      <w:kern w:val="0"/>
      <w:lang w:eastAsia="el-GR"/>
      <w14:ligatures w14:val="none"/>
    </w:rPr>
  </w:style>
  <w:style w:type="character" w:customStyle="1" w:styleId="CorpsdetexteCar">
    <w:name w:val="Corps de texte Car"/>
    <w:basedOn w:val="Policepardfaut"/>
    <w:link w:val="Corpsdetexte"/>
    <w:rsid w:val="00D52372"/>
    <w:rPr>
      <w:rFonts w:ascii="Times New Roman" w:eastAsia="Times New Roman" w:hAnsi="Times New Roman" w:cs="Times New Roman"/>
      <w:kern w:val="0"/>
      <w:lang w:eastAsia="el-GR"/>
      <w14:ligatures w14:val="none"/>
    </w:rPr>
  </w:style>
  <w:style w:type="paragraph" w:styleId="Liste">
    <w:name w:val="List"/>
    <w:basedOn w:val="Corpsdetexte"/>
    <w:rsid w:val="00D52372"/>
  </w:style>
  <w:style w:type="paragraph" w:styleId="Lgende">
    <w:name w:val="caption"/>
    <w:basedOn w:val="Normal"/>
    <w:qFormat/>
    <w:rsid w:val="00D52372"/>
    <w:pPr>
      <w:suppressLineNumbers/>
      <w:spacing w:before="120" w:after="120"/>
    </w:pPr>
    <w:rPr>
      <w:rFonts w:ascii="Times New Roman" w:eastAsia="Times New Roman" w:hAnsi="Times New Roman" w:cs="Times New Roman"/>
      <w:i/>
      <w:iCs/>
      <w:kern w:val="0"/>
      <w:lang w:eastAsia="el-GR"/>
      <w14:ligatures w14:val="none"/>
    </w:rPr>
  </w:style>
  <w:style w:type="paragraph" w:customStyle="1" w:styleId="Index">
    <w:name w:val="Index"/>
    <w:basedOn w:val="Normal"/>
    <w:rsid w:val="00D52372"/>
    <w:pPr>
      <w:suppressLineNumbers/>
    </w:pPr>
    <w:rPr>
      <w:rFonts w:ascii="Times New Roman" w:eastAsia="Times New Roman" w:hAnsi="Times New Roman" w:cs="Times New Roman"/>
      <w:kern w:val="0"/>
      <w:lang w:eastAsia="el-GR"/>
      <w14:ligatures w14:val="none"/>
    </w:rPr>
  </w:style>
  <w:style w:type="paragraph" w:customStyle="1" w:styleId="TableContents">
    <w:name w:val="Table Contents"/>
    <w:basedOn w:val="Normal"/>
    <w:rsid w:val="00D52372"/>
    <w:pPr>
      <w:suppressLineNumbers/>
    </w:pPr>
    <w:rPr>
      <w:rFonts w:ascii="Times New Roman" w:eastAsia="Times New Roman" w:hAnsi="Times New Roman" w:cs="Times New Roman"/>
      <w:kern w:val="0"/>
      <w:lang w:eastAsia="el-GR"/>
      <w14:ligatures w14:val="none"/>
    </w:rPr>
  </w:style>
  <w:style w:type="paragraph" w:customStyle="1" w:styleId="TableHeading">
    <w:name w:val="Table Heading"/>
    <w:basedOn w:val="TableContents"/>
    <w:rsid w:val="00D52372"/>
    <w:pPr>
      <w:jc w:val="center"/>
    </w:pPr>
    <w:rPr>
      <w:b/>
      <w:bCs/>
    </w:rPr>
  </w:style>
  <w:style w:type="paragraph" w:customStyle="1" w:styleId="ECVLeftHeading">
    <w:name w:val="_ECV_LeftHeading"/>
    <w:basedOn w:val="TableContents"/>
    <w:rsid w:val="00D52372"/>
    <w:pPr>
      <w:ind w:right="283"/>
      <w:jc w:val="right"/>
    </w:pPr>
    <w:rPr>
      <w:caps/>
      <w:color w:val="0E4194"/>
      <w:sz w:val="18"/>
    </w:rPr>
  </w:style>
  <w:style w:type="paragraph" w:customStyle="1" w:styleId="ECVMiddleColumn">
    <w:name w:val="_ECV_MiddleColumn"/>
    <w:basedOn w:val="TableContents"/>
    <w:rsid w:val="00D52372"/>
    <w:rPr>
      <w:color w:val="404040"/>
      <w:sz w:val="20"/>
    </w:rPr>
  </w:style>
  <w:style w:type="paragraph" w:customStyle="1" w:styleId="ECVRightColumn">
    <w:name w:val="_ECV_RightColumn"/>
    <w:basedOn w:val="TableContents"/>
    <w:rsid w:val="00D52372"/>
    <w:pPr>
      <w:spacing w:before="62"/>
    </w:pPr>
    <w:rPr>
      <w:color w:val="404040"/>
    </w:rPr>
  </w:style>
  <w:style w:type="paragraph" w:customStyle="1" w:styleId="ECVNameField">
    <w:name w:val="_ECV_NameField"/>
    <w:basedOn w:val="ECVRightColumn"/>
    <w:rsid w:val="00D52372"/>
    <w:pPr>
      <w:spacing w:before="0" w:line="100" w:lineRule="atLeast"/>
    </w:pPr>
    <w:rPr>
      <w:color w:val="3F3A38"/>
      <w:sz w:val="26"/>
      <w:szCs w:val="18"/>
    </w:rPr>
  </w:style>
  <w:style w:type="paragraph" w:customStyle="1" w:styleId="ECVRightHeading">
    <w:name w:val="_ECV_RightHeading"/>
    <w:basedOn w:val="ECVNameField"/>
    <w:rsid w:val="00D52372"/>
    <w:pPr>
      <w:spacing w:before="62"/>
      <w:jc w:val="right"/>
    </w:pPr>
    <w:rPr>
      <w:color w:val="1593CB"/>
      <w:sz w:val="15"/>
    </w:rPr>
  </w:style>
  <w:style w:type="paragraph" w:customStyle="1" w:styleId="ECV1stPage">
    <w:name w:val="_ECV_1stPage"/>
    <w:basedOn w:val="ECVRightHeading"/>
    <w:rsid w:val="00D52372"/>
    <w:pPr>
      <w:tabs>
        <w:tab w:val="left" w:pos="2835"/>
        <w:tab w:val="right" w:pos="10205"/>
      </w:tabs>
      <w:spacing w:before="215"/>
      <w:jc w:val="left"/>
    </w:pPr>
    <w:rPr>
      <w:sz w:val="20"/>
    </w:rPr>
  </w:style>
  <w:style w:type="paragraph" w:customStyle="1" w:styleId="ECVComments">
    <w:name w:val="_ECV_Comments"/>
    <w:basedOn w:val="ECVText"/>
    <w:rsid w:val="00D52372"/>
    <w:pPr>
      <w:jc w:val="center"/>
    </w:pPr>
    <w:rPr>
      <w:color w:val="FF0000"/>
    </w:rPr>
  </w:style>
  <w:style w:type="paragraph" w:customStyle="1" w:styleId="ECVNarrowSpacing">
    <w:name w:val="_ECV_NarrowSpacing"/>
    <w:basedOn w:val="ECVRightColumn"/>
    <w:rsid w:val="00D52372"/>
    <w:rPr>
      <w:color w:val="402C24"/>
      <w:sz w:val="8"/>
      <w:szCs w:val="10"/>
    </w:rPr>
  </w:style>
  <w:style w:type="paragraph" w:customStyle="1" w:styleId="ECVSectionSpacing">
    <w:name w:val="_ECV_SectionSpacing"/>
    <w:basedOn w:val="ECVRightColumn"/>
    <w:rsid w:val="00D52372"/>
  </w:style>
  <w:style w:type="paragraph" w:customStyle="1" w:styleId="Table">
    <w:name w:val="Table"/>
    <w:basedOn w:val="Lgende"/>
    <w:rsid w:val="00D52372"/>
  </w:style>
  <w:style w:type="paragraph" w:customStyle="1" w:styleId="ECVOrganisationDetails">
    <w:name w:val="_ECV_OrganisationDetails"/>
    <w:basedOn w:val="ECVRightColumn"/>
    <w:rsid w:val="00D5237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D52372"/>
    <w:pPr>
      <w:suppressLineNumbers/>
      <w:autoSpaceDE w:val="0"/>
      <w:spacing w:before="28" w:line="100" w:lineRule="atLeast"/>
    </w:pPr>
    <w:rPr>
      <w:rFonts w:ascii="Times New Roman" w:eastAsia="Times New Roman" w:hAnsi="Times New Roman" w:cs="Times New Roman"/>
      <w:kern w:val="0"/>
      <w:sz w:val="18"/>
      <w:lang w:eastAsia="el-GR"/>
      <w14:ligatures w14:val="none"/>
    </w:rPr>
  </w:style>
  <w:style w:type="paragraph" w:customStyle="1" w:styleId="ECVHeadingBullet">
    <w:name w:val="_ECV_HeadingBullet"/>
    <w:basedOn w:val="ECVLeftHeading"/>
    <w:rsid w:val="00D52372"/>
    <w:pPr>
      <w:numPr>
        <w:numId w:val="4"/>
      </w:numPr>
      <w:spacing w:line="100" w:lineRule="atLeast"/>
      <w:outlineLvl w:val="0"/>
    </w:pPr>
  </w:style>
  <w:style w:type="paragraph" w:customStyle="1" w:styleId="ECVSubHeadingBullet">
    <w:name w:val="_ECV_SubHeadingBullet"/>
    <w:basedOn w:val="ECVLeftDetails"/>
    <w:rsid w:val="00D52372"/>
    <w:pPr>
      <w:spacing w:before="0" w:line="100" w:lineRule="atLeast"/>
    </w:pPr>
  </w:style>
  <w:style w:type="paragraph" w:customStyle="1" w:styleId="CVMajor">
    <w:name w:val="CV Major"/>
    <w:basedOn w:val="Normal"/>
    <w:rsid w:val="00D52372"/>
    <w:pPr>
      <w:ind w:left="113" w:right="113"/>
    </w:pPr>
    <w:rPr>
      <w:rFonts w:ascii="Times New Roman" w:eastAsia="Times New Roman" w:hAnsi="Times New Roman" w:cs="Times New Roman"/>
      <w:b/>
      <w:kern w:val="0"/>
      <w:lang w:eastAsia="el-GR"/>
      <w14:ligatures w14:val="none"/>
    </w:rPr>
  </w:style>
  <w:style w:type="paragraph" w:customStyle="1" w:styleId="ECVDate">
    <w:name w:val="_ECV_Date"/>
    <w:basedOn w:val="ECVLeftHeading"/>
    <w:rsid w:val="00D52372"/>
    <w:pPr>
      <w:spacing w:before="28" w:line="100" w:lineRule="atLeast"/>
      <w:textAlignment w:val="top"/>
    </w:pPr>
    <w:rPr>
      <w:caps w:val="0"/>
    </w:rPr>
  </w:style>
  <w:style w:type="paragraph" w:customStyle="1" w:styleId="CVHeading3">
    <w:name w:val="CV Heading 3"/>
    <w:basedOn w:val="Normal"/>
    <w:next w:val="Normal"/>
    <w:rsid w:val="00D52372"/>
    <w:pPr>
      <w:ind w:left="113" w:right="113"/>
      <w:jc w:val="right"/>
      <w:textAlignment w:val="center"/>
    </w:pPr>
    <w:rPr>
      <w:rFonts w:ascii="Times New Roman" w:eastAsia="Times New Roman" w:hAnsi="Times New Roman" w:cs="Times New Roman"/>
      <w:kern w:val="0"/>
      <w:lang w:eastAsia="el-GR"/>
      <w14:ligatures w14:val="none"/>
    </w:rPr>
  </w:style>
  <w:style w:type="paragraph" w:customStyle="1" w:styleId="ECVHeadingLine">
    <w:name w:val="_ECV_HeadingLine"/>
    <w:basedOn w:val="ECVSubSectionHeading"/>
    <w:rsid w:val="00D52372"/>
    <w:rPr>
      <w:color w:val="17ACE6"/>
    </w:rPr>
  </w:style>
  <w:style w:type="paragraph" w:styleId="En-tte">
    <w:name w:val="header"/>
    <w:basedOn w:val="Normal"/>
    <w:link w:val="En-tteCar"/>
    <w:rsid w:val="00D52372"/>
    <w:pPr>
      <w:suppressLineNumbers/>
      <w:tabs>
        <w:tab w:val="center" w:pos="5103"/>
        <w:tab w:val="right" w:pos="10206"/>
      </w:tabs>
    </w:pPr>
    <w:rPr>
      <w:rFonts w:ascii="Times New Roman" w:eastAsia="Times New Roman" w:hAnsi="Times New Roman" w:cs="Times New Roman"/>
      <w:kern w:val="0"/>
      <w:lang w:eastAsia="el-GR"/>
      <w14:ligatures w14:val="none"/>
    </w:rPr>
  </w:style>
  <w:style w:type="character" w:customStyle="1" w:styleId="En-tteCar">
    <w:name w:val="En-tête Car"/>
    <w:basedOn w:val="Policepardfaut"/>
    <w:link w:val="En-tte"/>
    <w:rsid w:val="00D52372"/>
    <w:rPr>
      <w:rFonts w:ascii="Times New Roman" w:eastAsia="Times New Roman" w:hAnsi="Times New Roman" w:cs="Times New Roman"/>
      <w:kern w:val="0"/>
      <w:lang w:eastAsia="el-GR"/>
      <w14:ligatures w14:val="none"/>
    </w:rPr>
  </w:style>
  <w:style w:type="paragraph" w:customStyle="1" w:styleId="ECVAttachment">
    <w:name w:val="_ECV_Attachment"/>
    <w:basedOn w:val="ECVSectionDetails"/>
    <w:rsid w:val="00D52372"/>
    <w:pPr>
      <w:jc w:val="right"/>
    </w:pPr>
    <w:rPr>
      <w:u w:val="single"/>
    </w:rPr>
  </w:style>
  <w:style w:type="paragraph" w:customStyle="1" w:styleId="ECVHeaderFirstPage">
    <w:name w:val="_ECV_HeaderFirstPage"/>
    <w:basedOn w:val="En-tte"/>
    <w:rsid w:val="00D52372"/>
    <w:pPr>
      <w:tabs>
        <w:tab w:val="center" w:pos="2835"/>
      </w:tabs>
      <w:spacing w:line="100" w:lineRule="atLeast"/>
    </w:pPr>
    <w:rPr>
      <w:color w:val="17ACE6"/>
      <w:sz w:val="20"/>
    </w:rPr>
  </w:style>
  <w:style w:type="paragraph" w:customStyle="1" w:styleId="ECVHeaderOtherPage">
    <w:name w:val="_ECV_HeaderOtherPage"/>
    <w:basedOn w:val="ECVHeaderFirstPage"/>
    <w:rsid w:val="00D52372"/>
  </w:style>
  <w:style w:type="paragraph" w:customStyle="1" w:styleId="ECVLeftDetails">
    <w:name w:val="_ECV_LeftDetails"/>
    <w:basedOn w:val="ECVLeftHeading"/>
    <w:rsid w:val="00D52372"/>
    <w:pPr>
      <w:spacing w:before="23"/>
    </w:pPr>
    <w:rPr>
      <w:caps w:val="0"/>
    </w:rPr>
  </w:style>
  <w:style w:type="paragraph" w:styleId="Pieddepage">
    <w:name w:val="footer"/>
    <w:basedOn w:val="Normal"/>
    <w:link w:val="PieddepageCar"/>
    <w:rsid w:val="00D52372"/>
    <w:pPr>
      <w:suppressLineNumbers/>
      <w:tabs>
        <w:tab w:val="right" w:pos="2835"/>
        <w:tab w:val="left" w:pos="10205"/>
      </w:tabs>
    </w:pPr>
    <w:rPr>
      <w:rFonts w:ascii="Times New Roman" w:eastAsia="Times New Roman" w:hAnsi="Times New Roman" w:cs="Times New Roman"/>
      <w:color w:val="1593CB"/>
      <w:kern w:val="0"/>
      <w:lang w:eastAsia="el-GR"/>
      <w14:ligatures w14:val="none"/>
    </w:rPr>
  </w:style>
  <w:style w:type="character" w:customStyle="1" w:styleId="PieddepageCar">
    <w:name w:val="Pied de page Car"/>
    <w:basedOn w:val="Policepardfaut"/>
    <w:link w:val="Pieddepage"/>
    <w:rsid w:val="00D52372"/>
    <w:rPr>
      <w:rFonts w:ascii="Times New Roman" w:eastAsia="Times New Roman" w:hAnsi="Times New Roman" w:cs="Times New Roman"/>
      <w:color w:val="1593CB"/>
      <w:kern w:val="0"/>
      <w:lang w:eastAsia="el-GR"/>
      <w14:ligatures w14:val="none"/>
    </w:rPr>
  </w:style>
  <w:style w:type="paragraph" w:customStyle="1" w:styleId="ECVLanguageHeading">
    <w:name w:val="_ECV_LanguageHeading"/>
    <w:basedOn w:val="ECVRightColumn"/>
    <w:rsid w:val="00D52372"/>
    <w:pPr>
      <w:spacing w:before="0"/>
      <w:jc w:val="center"/>
    </w:pPr>
    <w:rPr>
      <w:caps/>
      <w:color w:val="0E4194"/>
      <w:sz w:val="14"/>
    </w:rPr>
  </w:style>
  <w:style w:type="paragraph" w:customStyle="1" w:styleId="ECVLanguageSubHeading">
    <w:name w:val="_ECV_LanguageSubHeading"/>
    <w:basedOn w:val="ECVLanguageHeading"/>
    <w:rsid w:val="00D52372"/>
    <w:pPr>
      <w:spacing w:line="100" w:lineRule="atLeast"/>
    </w:pPr>
    <w:rPr>
      <w:caps w:val="0"/>
      <w:sz w:val="16"/>
    </w:rPr>
  </w:style>
  <w:style w:type="paragraph" w:customStyle="1" w:styleId="ECVLanguageLevel">
    <w:name w:val="_ECV_LanguageLevel"/>
    <w:basedOn w:val="ECVSectionDetails"/>
    <w:rsid w:val="00D52372"/>
    <w:pPr>
      <w:jc w:val="center"/>
      <w:textAlignment w:val="center"/>
    </w:pPr>
    <w:rPr>
      <w:caps/>
    </w:rPr>
  </w:style>
  <w:style w:type="paragraph" w:customStyle="1" w:styleId="ECVLanguageCertificate">
    <w:name w:val="_ECV_LanguageCertificate"/>
    <w:basedOn w:val="ECVRightColumn"/>
    <w:rsid w:val="00D52372"/>
    <w:pPr>
      <w:spacing w:before="0" w:line="100" w:lineRule="atLeast"/>
      <w:ind w:right="283"/>
      <w:jc w:val="center"/>
    </w:pPr>
    <w:rPr>
      <w:color w:val="3F3A38"/>
    </w:rPr>
  </w:style>
  <w:style w:type="paragraph" w:customStyle="1" w:styleId="ECVLanguageExplanation">
    <w:name w:val="_ECV_LanguageExplanation"/>
    <w:basedOn w:val="Normal"/>
    <w:rsid w:val="00D52372"/>
    <w:pPr>
      <w:autoSpaceDE w:val="0"/>
      <w:spacing w:line="100" w:lineRule="atLeast"/>
    </w:pPr>
    <w:rPr>
      <w:rFonts w:ascii="Times New Roman" w:eastAsia="Times New Roman" w:hAnsi="Times New Roman" w:cs="Times New Roman"/>
      <w:color w:val="0E4194"/>
      <w:kern w:val="0"/>
      <w:sz w:val="15"/>
      <w:lang w:eastAsia="el-GR"/>
      <w14:ligatures w14:val="none"/>
    </w:rPr>
  </w:style>
  <w:style w:type="paragraph" w:customStyle="1" w:styleId="ECVLinks">
    <w:name w:val="_ECV_Links"/>
    <w:basedOn w:val="Normal"/>
    <w:rsid w:val="00D52372"/>
    <w:pPr>
      <w:suppressLineNumbers/>
      <w:spacing w:line="100" w:lineRule="atLeast"/>
      <w:textAlignment w:val="center"/>
    </w:pPr>
    <w:rPr>
      <w:rFonts w:ascii="Times New Roman" w:eastAsia="Times New Roman" w:hAnsi="Times New Roman" w:cs="Times New Roman"/>
      <w:color w:val="3F3A38"/>
      <w:kern w:val="0"/>
      <w:sz w:val="18"/>
      <w:szCs w:val="18"/>
      <w:u w:val="single"/>
      <w:lang w:eastAsia="el-GR"/>
      <w14:ligatures w14:val="none"/>
    </w:rPr>
  </w:style>
  <w:style w:type="paragraph" w:customStyle="1" w:styleId="ECVText">
    <w:name w:val="_ECV_Text"/>
    <w:basedOn w:val="Corpsdetexte"/>
    <w:rsid w:val="00D52372"/>
  </w:style>
  <w:style w:type="paragraph" w:customStyle="1" w:styleId="ECVBusinessSector">
    <w:name w:val="_ECV_BusinessSector"/>
    <w:basedOn w:val="ECVOrganisationDetails"/>
    <w:rsid w:val="00D52372"/>
    <w:pPr>
      <w:spacing w:before="113" w:after="0"/>
    </w:pPr>
  </w:style>
  <w:style w:type="paragraph" w:customStyle="1" w:styleId="ECVLanguageName">
    <w:name w:val="_ECV_LanguageName"/>
    <w:basedOn w:val="ECVLanguageCertificate"/>
    <w:rsid w:val="00D52372"/>
    <w:pPr>
      <w:jc w:val="right"/>
    </w:pPr>
    <w:rPr>
      <w:sz w:val="18"/>
    </w:rPr>
  </w:style>
  <w:style w:type="paragraph" w:customStyle="1" w:styleId="ECVPersonalInfoHeading">
    <w:name w:val="_ECV_PersonalInfoHeading"/>
    <w:basedOn w:val="ECVLeftHeading"/>
    <w:rsid w:val="00D52372"/>
    <w:pPr>
      <w:spacing w:before="57"/>
    </w:pPr>
  </w:style>
  <w:style w:type="paragraph" w:customStyle="1" w:styleId="ECVOccupationalFieldHeading">
    <w:name w:val="_ECV_OccupationalFieldHeading"/>
    <w:basedOn w:val="ECVLeftHeading"/>
    <w:rsid w:val="00D52372"/>
    <w:pPr>
      <w:spacing w:before="57"/>
    </w:pPr>
  </w:style>
  <w:style w:type="paragraph" w:customStyle="1" w:styleId="ECVGenderRow">
    <w:name w:val="_ECV_GenderRow"/>
    <w:basedOn w:val="Normal"/>
    <w:rsid w:val="00D52372"/>
    <w:pPr>
      <w:spacing w:before="85"/>
    </w:pPr>
    <w:rPr>
      <w:rFonts w:ascii="Times New Roman" w:eastAsia="Times New Roman" w:hAnsi="Times New Roman" w:cs="Times New Roman"/>
      <w:color w:val="1593CB"/>
      <w:kern w:val="0"/>
      <w:lang w:eastAsia="el-GR"/>
      <w14:ligatures w14:val="none"/>
    </w:rPr>
  </w:style>
  <w:style w:type="paragraph" w:customStyle="1" w:styleId="ECVCurriculumVitaeNextPages">
    <w:name w:val="_ECV_CurriculumVitae_NextPages"/>
    <w:basedOn w:val="ECV1stPage"/>
    <w:rsid w:val="00D52372"/>
    <w:pPr>
      <w:tabs>
        <w:tab w:val="clear" w:pos="10205"/>
        <w:tab w:val="right" w:pos="10350"/>
      </w:tabs>
      <w:spacing w:before="153"/>
      <w:jc w:val="right"/>
    </w:pPr>
  </w:style>
  <w:style w:type="paragraph" w:customStyle="1" w:styleId="ECVBusinessSctionRow">
    <w:name w:val="_ECV_BusinessSctionRow"/>
    <w:basedOn w:val="Normal"/>
    <w:rsid w:val="00D52372"/>
    <w:rPr>
      <w:rFonts w:ascii="Times New Roman" w:eastAsia="Times New Roman" w:hAnsi="Times New Roman" w:cs="Times New Roman"/>
      <w:kern w:val="0"/>
      <w:lang w:eastAsia="el-GR"/>
      <w14:ligatures w14:val="none"/>
    </w:rPr>
  </w:style>
  <w:style w:type="paragraph" w:customStyle="1" w:styleId="ECVBlueBox">
    <w:name w:val="_ECV_BlueBox"/>
    <w:basedOn w:val="ECVNarrowSpacing"/>
    <w:rsid w:val="00D52372"/>
    <w:pPr>
      <w:spacing w:before="0"/>
      <w:jc w:val="right"/>
      <w:textAlignment w:val="bottom"/>
    </w:pPr>
  </w:style>
  <w:style w:type="paragraph" w:customStyle="1" w:styleId="ESP1stPage">
    <w:name w:val="_ESP_1stPage"/>
    <w:basedOn w:val="ECVCurriculumVitaeNextPages"/>
    <w:rsid w:val="00D52372"/>
  </w:style>
  <w:style w:type="paragraph" w:customStyle="1" w:styleId="ESPText">
    <w:name w:val="_ESP_Text"/>
    <w:basedOn w:val="ECVText"/>
    <w:rsid w:val="00D52372"/>
  </w:style>
  <w:style w:type="paragraph" w:customStyle="1" w:styleId="ESPHeading">
    <w:name w:val="_ESP_Heading"/>
    <w:basedOn w:val="ESPText"/>
    <w:rsid w:val="00D52372"/>
    <w:rPr>
      <w:b/>
      <w:bCs/>
      <w:sz w:val="32"/>
      <w:szCs w:val="32"/>
    </w:rPr>
  </w:style>
  <w:style w:type="paragraph" w:customStyle="1" w:styleId="Footerleft">
    <w:name w:val="Footer left"/>
    <w:basedOn w:val="Normal"/>
    <w:rsid w:val="00D52372"/>
    <w:pPr>
      <w:suppressLineNumbers/>
      <w:tabs>
        <w:tab w:val="center" w:pos="5188"/>
        <w:tab w:val="right" w:pos="10376"/>
      </w:tabs>
    </w:pPr>
    <w:rPr>
      <w:rFonts w:ascii="Times New Roman" w:eastAsia="Times New Roman" w:hAnsi="Times New Roman" w:cs="Times New Roman"/>
      <w:kern w:val="0"/>
      <w:lang w:eastAsia="el-GR"/>
      <w14:ligatures w14:val="none"/>
    </w:rPr>
  </w:style>
  <w:style w:type="paragraph" w:customStyle="1" w:styleId="Footerright">
    <w:name w:val="Footer right"/>
    <w:basedOn w:val="Normal"/>
    <w:rsid w:val="00D52372"/>
    <w:pPr>
      <w:suppressLineNumbers/>
      <w:tabs>
        <w:tab w:val="center" w:pos="5188"/>
        <w:tab w:val="right" w:pos="10376"/>
      </w:tabs>
    </w:pPr>
    <w:rPr>
      <w:rFonts w:ascii="Times New Roman" w:eastAsia="Times New Roman" w:hAnsi="Times New Roman" w:cs="Times New Roman"/>
      <w:kern w:val="0"/>
      <w:lang w:eastAsia="el-GR"/>
      <w14:ligatures w14:val="none"/>
    </w:rPr>
  </w:style>
  <w:style w:type="paragraph" w:customStyle="1" w:styleId="ECVRelatedDocumentRow">
    <w:name w:val="_ECV_RelatedDocumentRow"/>
    <w:basedOn w:val="ECVBusinessSectorRow"/>
    <w:rsid w:val="00D52372"/>
  </w:style>
  <w:style w:type="paragraph" w:styleId="Textedebulles">
    <w:name w:val="Balloon Text"/>
    <w:basedOn w:val="Normal"/>
    <w:link w:val="TextedebullesCar"/>
    <w:semiHidden/>
    <w:rsid w:val="00D52372"/>
    <w:rPr>
      <w:rFonts w:ascii="Tahoma" w:eastAsia="Times New Roman" w:hAnsi="Tahoma" w:cs="Tahoma"/>
      <w:kern w:val="0"/>
      <w:szCs w:val="16"/>
      <w:lang w:eastAsia="el-GR"/>
      <w14:ligatures w14:val="none"/>
    </w:rPr>
  </w:style>
  <w:style w:type="character" w:customStyle="1" w:styleId="TextedebullesCar">
    <w:name w:val="Texte de bulles Car"/>
    <w:basedOn w:val="Policepardfaut"/>
    <w:link w:val="Textedebulles"/>
    <w:semiHidden/>
    <w:rsid w:val="00D52372"/>
    <w:rPr>
      <w:rFonts w:ascii="Tahoma" w:eastAsia="Times New Roman" w:hAnsi="Tahoma" w:cs="Tahoma"/>
      <w:kern w:val="0"/>
      <w:szCs w:val="16"/>
      <w:lang w:eastAsia="el-GR"/>
      <w14:ligatures w14:val="none"/>
    </w:rPr>
  </w:style>
  <w:style w:type="paragraph" w:styleId="Paragraphedeliste">
    <w:name w:val="List Paragraph"/>
    <w:basedOn w:val="Normal"/>
    <w:uiPriority w:val="34"/>
    <w:qFormat/>
    <w:rsid w:val="00D52372"/>
    <w:pPr>
      <w:ind w:left="720"/>
      <w:contextualSpacing/>
    </w:pPr>
    <w:rPr>
      <w:rFonts w:ascii="Times New Roman" w:eastAsia="Times New Roman" w:hAnsi="Times New Roman" w:cs="Times New Roman"/>
      <w:kern w:val="0"/>
      <w:lang w:eastAsia="el-GR"/>
      <w14:ligatures w14:val="none"/>
    </w:rPr>
  </w:style>
  <w:style w:type="character" w:customStyle="1" w:styleId="super">
    <w:name w:val="super"/>
    <w:basedOn w:val="Policepardfaut"/>
    <w:rsid w:val="00D52372"/>
  </w:style>
  <w:style w:type="paragraph" w:customStyle="1" w:styleId="-11">
    <w:name w:val="Πολύχρωμη λίστα - ΄Εμφαση 11"/>
    <w:basedOn w:val="Normal"/>
    <w:uiPriority w:val="34"/>
    <w:qFormat/>
    <w:rsid w:val="00D52372"/>
    <w:pPr>
      <w:spacing w:after="200" w:line="276" w:lineRule="auto"/>
      <w:ind w:left="720"/>
      <w:contextualSpacing/>
    </w:pPr>
    <w:rPr>
      <w:rFonts w:ascii="Calibri" w:eastAsia="Times New Roman" w:hAnsi="Calibri" w:cs="Times New Roman"/>
      <w:kern w:val="0"/>
      <w:sz w:val="22"/>
      <w:szCs w:val="22"/>
      <w:lang w:eastAsia="el-GR"/>
      <w14:ligatures w14:val="none"/>
    </w:rPr>
  </w:style>
  <w:style w:type="character" w:customStyle="1" w:styleId="x-1738741094size">
    <w:name w:val="x_-1738741094size"/>
    <w:basedOn w:val="Policepardfaut"/>
    <w:rsid w:val="00D52372"/>
  </w:style>
  <w:style w:type="paragraph" w:styleId="NormalWeb">
    <w:name w:val="Normal (Web)"/>
    <w:basedOn w:val="Normal"/>
    <w:uiPriority w:val="99"/>
    <w:semiHidden/>
    <w:unhideWhenUsed/>
    <w:rsid w:val="00D52372"/>
    <w:pPr>
      <w:spacing w:before="100" w:beforeAutospacing="1" w:after="100" w:afterAutospacing="1"/>
    </w:pPr>
    <w:rPr>
      <w:rFonts w:ascii="Times New Roman" w:eastAsia="Times New Roman" w:hAnsi="Times New Roman" w:cs="Times New Roman"/>
      <w:kern w:val="0"/>
      <w:lang w:eastAsia="el-GR"/>
      <w14:ligatures w14:val="none"/>
    </w:rPr>
  </w:style>
  <w:style w:type="character" w:styleId="Numrodepage">
    <w:name w:val="page number"/>
    <w:basedOn w:val="Policepardfaut"/>
    <w:uiPriority w:val="99"/>
    <w:semiHidden/>
    <w:unhideWhenUsed/>
    <w:rsid w:val="00D5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eved@law.auth.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nny@prevedourou.gr" TargetMode="External"/><Relationship Id="rId12" Type="http://schemas.openxmlformats.org/officeDocument/2006/relationships/hyperlink" Target="http://www.constitutionalism.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titutionalism.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titutionalism.gr" TargetMode="External"/><Relationship Id="rId4" Type="http://schemas.openxmlformats.org/officeDocument/2006/relationships/webSettings" Target="webSettings.xml"/><Relationship Id="rId9" Type="http://schemas.openxmlformats.org/officeDocument/2006/relationships/hyperlink" Target="http://www.law.auth.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5569</Words>
  <Characters>30632</Characters>
  <Application>Microsoft Office Word</Application>
  <DocSecurity>0</DocSecurity>
  <Lines>255</Lines>
  <Paragraphs>72</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FABIENNE BITON</cp:lastModifiedBy>
  <cp:revision>2</cp:revision>
  <dcterms:created xsi:type="dcterms:W3CDTF">2024-03-01T09:54:00Z</dcterms:created>
  <dcterms:modified xsi:type="dcterms:W3CDTF">2024-03-01T09:54:00Z</dcterms:modified>
</cp:coreProperties>
</file>